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b/>
          <w:i w:val="0"/>
          <w:color w:val="C2402A"/>
          <w:sz w:val="17"/>
        </w:rPr>
        <w:t>EXP | ARC  ·  FREE GUIDE</w:t>
      </w:r>
    </w:p>
    <w:p>
      <w:r>
        <w:rPr>
          <w:rFonts w:ascii="Calibri" w:hAnsi="Calibri"/>
          <w:b/>
          <w:i w:val="0"/>
          <w:color w:val="211D1A"/>
          <w:sz w:val="40"/>
        </w:rPr>
        <w:t>The Building Regulations Guide</w:t>
      </w:r>
    </w:p>
    <w:p>
      <w:r>
        <w:rPr>
          <w:rFonts w:ascii="Calibri" w:hAnsi="Calibri"/>
          <w:b w:val="0"/>
          <w:i w:val="0"/>
          <w:color w:val="57504B"/>
          <w:sz w:val="22"/>
        </w:rPr>
        <w:t>What a council-ready and construction-ready drawing set actually contains.</w:t>
      </w:r>
    </w:p>
    <w:p>
      <w:r>
        <w:rPr>
          <w:rFonts w:ascii="Calibri" w:hAnsi="Calibri"/>
          <w:b w:val="0"/>
          <w:i/>
          <w:color w:val="57504B"/>
          <w:sz w:val="18"/>
        </w:rPr>
        <w:t>This is the editable Word version. The PDF and all our other guides are at exparc.co.uk/free-guides</w:t>
      </w:r>
    </w:p>
    <w:p/>
    <w:p>
      <w:r>
        <w:rPr>
          <w:rFonts w:ascii="Calibri" w:hAnsi="Calibri"/>
          <w:b/>
          <w:i w:val="0"/>
          <w:color w:val="211D1A"/>
          <w:sz w:val="26"/>
        </w:rPr>
        <w:t>1. Your approval routes</w:t>
      </w:r>
    </w:p>
    <w:tbl>
      <w:tblPr>
        <w:tblStyle w:val="TableGrid"/>
        <w:tblW w:type="auto" w:w="0"/>
        <w:tblLook w:firstColumn="1" w:firstRow="1" w:lastColumn="0" w:lastRow="0" w:noHBand="0" w:noVBand="1" w:val="04A0"/>
      </w:tblPr>
      <w:tblGrid>
        <w:gridCol w:w="3312"/>
        <w:gridCol w:w="3312"/>
        <w:gridCol w:w="3312"/>
      </w:tblGrid>
      <w:tr>
        <w:tc>
          <w:tcPr>
            <w:tcW w:type="dxa" w:w="3312"/>
          </w:tcPr>
          <w:p>
            <w:r/>
            <w:r>
              <w:rPr>
                <w:rFonts w:ascii="Calibri" w:hAnsi="Calibri"/>
                <w:b/>
                <w:i w:val="0"/>
                <w:color w:val="211D1A"/>
                <w:sz w:val="19"/>
              </w:rPr>
              <w:t>Approval</w:t>
            </w:r>
          </w:p>
        </w:tc>
        <w:tc>
          <w:tcPr>
            <w:tcW w:type="dxa" w:w="3312"/>
          </w:tcPr>
          <w:p>
            <w:r/>
            <w:r>
              <w:rPr>
                <w:rFonts w:ascii="Calibri" w:hAnsi="Calibri"/>
                <w:b/>
                <w:i w:val="0"/>
                <w:color w:val="211D1A"/>
                <w:sz w:val="19"/>
              </w:rPr>
              <w:t>What it covers</w:t>
            </w:r>
          </w:p>
        </w:tc>
        <w:tc>
          <w:tcPr>
            <w:tcW w:type="dxa" w:w="3312"/>
          </w:tcPr>
          <w:p>
            <w:r/>
            <w:r>
              <w:rPr>
                <w:rFonts w:ascii="Calibri" w:hAnsi="Calibri"/>
                <w:b/>
                <w:i w:val="0"/>
                <w:color w:val="211D1A"/>
                <w:sz w:val="19"/>
              </w:rPr>
              <w:t>Who decides</w:t>
            </w:r>
          </w:p>
        </w:tc>
      </w:tr>
      <w:tr>
        <w:tc>
          <w:tcPr>
            <w:tcW w:type="dxa" w:w="3312"/>
          </w:tcPr>
          <w:p>
            <w:r/>
            <w:r>
              <w:rPr>
                <w:rFonts w:ascii="Calibri" w:hAnsi="Calibri"/>
                <w:b/>
                <w:i w:val="0"/>
                <w:color w:val="211D1A"/>
                <w:sz w:val="19"/>
              </w:rPr>
              <w:t>Planning permission</w:t>
            </w:r>
          </w:p>
        </w:tc>
        <w:tc>
          <w:tcPr>
            <w:tcW w:type="dxa" w:w="3312"/>
          </w:tcPr>
          <w:p>
            <w:r/>
            <w:r>
              <w:rPr>
                <w:rFonts w:ascii="Calibri" w:hAnsi="Calibri"/>
                <w:b w:val="0"/>
                <w:i w:val="0"/>
                <w:color w:val="211D1A"/>
                <w:sz w:val="19"/>
              </w:rPr>
              <w:t>Whether you may build it: scale, appearance, impact</w:t>
            </w:r>
          </w:p>
        </w:tc>
        <w:tc>
          <w:tcPr>
            <w:tcW w:type="dxa" w:w="3312"/>
          </w:tcPr>
          <w:p>
            <w:r/>
            <w:r>
              <w:rPr>
                <w:rFonts w:ascii="Calibri" w:hAnsi="Calibri"/>
                <w:b w:val="0"/>
                <w:i w:val="0"/>
                <w:color w:val="211D1A"/>
                <w:sz w:val="19"/>
              </w:rPr>
              <w:t>Local planning authority</w:t>
            </w:r>
          </w:p>
        </w:tc>
      </w:tr>
      <w:tr>
        <w:tc>
          <w:tcPr>
            <w:tcW w:type="dxa" w:w="3312"/>
          </w:tcPr>
          <w:p>
            <w:r/>
            <w:r>
              <w:rPr>
                <w:rFonts w:ascii="Calibri" w:hAnsi="Calibri"/>
                <w:b/>
                <w:i w:val="0"/>
                <w:color w:val="211D1A"/>
                <w:sz w:val="19"/>
              </w:rPr>
              <w:t>Building Regulations</w:t>
            </w:r>
          </w:p>
        </w:tc>
        <w:tc>
          <w:tcPr>
            <w:tcW w:type="dxa" w:w="3312"/>
          </w:tcPr>
          <w:p>
            <w:r/>
            <w:r>
              <w:rPr>
                <w:rFonts w:ascii="Calibri" w:hAnsi="Calibri"/>
                <w:b w:val="0"/>
                <w:i w:val="0"/>
                <w:color w:val="211D1A"/>
                <w:sz w:val="19"/>
              </w:rPr>
              <w:t>How it is built: structure, fire, insulation, drainage</w:t>
            </w:r>
          </w:p>
        </w:tc>
        <w:tc>
          <w:tcPr>
            <w:tcW w:type="dxa" w:w="3312"/>
          </w:tcPr>
          <w:p>
            <w:r/>
            <w:r>
              <w:rPr>
                <w:rFonts w:ascii="Calibri" w:hAnsi="Calibri"/>
                <w:b w:val="0"/>
                <w:i w:val="0"/>
                <w:color w:val="211D1A"/>
                <w:sz w:val="19"/>
              </w:rPr>
              <w:t>Building control body</w:t>
            </w:r>
          </w:p>
        </w:tc>
      </w:tr>
      <w:tr>
        <w:tc>
          <w:tcPr>
            <w:tcW w:type="dxa" w:w="3312"/>
          </w:tcPr>
          <w:p>
            <w:r/>
            <w:r>
              <w:rPr>
                <w:rFonts w:ascii="Calibri" w:hAnsi="Calibri"/>
                <w:b/>
                <w:i w:val="0"/>
                <w:color w:val="211D1A"/>
                <w:sz w:val="19"/>
              </w:rPr>
              <w:t>Completion certificate</w:t>
            </w:r>
          </w:p>
        </w:tc>
        <w:tc>
          <w:tcPr>
            <w:tcW w:type="dxa" w:w="3312"/>
          </w:tcPr>
          <w:p>
            <w:r/>
            <w:r>
              <w:rPr>
                <w:rFonts w:ascii="Calibri" w:hAnsi="Calibri"/>
                <w:b w:val="0"/>
                <w:i w:val="0"/>
                <w:color w:val="211D1A"/>
                <w:sz w:val="19"/>
              </w:rPr>
              <w:t>Confirmation the work complies</w:t>
            </w:r>
          </w:p>
        </w:tc>
        <w:tc>
          <w:tcPr>
            <w:tcW w:type="dxa" w:w="3312"/>
          </w:tcPr>
          <w:p>
            <w:r/>
            <w:r>
              <w:rPr>
                <w:rFonts w:ascii="Calibri" w:hAnsi="Calibri"/>
                <w:b w:val="0"/>
                <w:i w:val="0"/>
                <w:color w:val="211D1A"/>
                <w:sz w:val="19"/>
              </w:rPr>
              <w:t>Building control body</w:t>
            </w:r>
          </w:p>
        </w:tc>
      </w:tr>
    </w:tbl>
    <w:p/>
    <w:p>
      <w:r>
        <w:rPr>
          <w:rFonts w:ascii="Calibri" w:hAnsi="Calibri"/>
          <w:b/>
          <w:i w:val="0"/>
          <w:color w:val="211D1A"/>
          <w:sz w:val="26"/>
        </w:rPr>
        <w:t>2. What trips people up</w:t>
      </w:r>
    </w:p>
    <w:p>
      <w:pPr>
        <w:pStyle w:val="ListBullet"/>
      </w:pPr>
      <w:r>
        <w:rPr>
          <w:rFonts w:ascii="Calibri" w:hAnsi="Calibri"/>
          <w:b w:val="0"/>
          <w:i w:val="0"/>
          <w:color w:val="211D1A"/>
          <w:sz w:val="20"/>
        </w:rPr>
        <w:t>Planning and Building Regulations are different approvals with different drawings. Most projects need both.</w:t>
      </w:r>
    </w:p>
    <w:p>
      <w:pPr>
        <w:pStyle w:val="ListBullet"/>
      </w:pPr>
      <w:r>
        <w:rPr>
          <w:rFonts w:ascii="Calibri" w:hAnsi="Calibri"/>
          <w:b w:val="0"/>
          <w:i w:val="0"/>
          <w:color w:val="211D1A"/>
          <w:sz w:val="20"/>
        </w:rPr>
        <w:t>Your builder prices from the technical set. A vague set produces vague quotes and questions on site.</w:t>
      </w:r>
    </w:p>
    <w:p>
      <w:pPr>
        <w:pStyle w:val="ListBullet"/>
      </w:pPr>
      <w:r>
        <w:rPr>
          <w:rFonts w:ascii="Calibri" w:hAnsi="Calibri"/>
          <w:b w:val="0"/>
          <w:i w:val="0"/>
          <w:color w:val="211D1A"/>
          <w:sz w:val="20"/>
        </w:rPr>
        <w:t>Building control inspects at stages during the build, not only at the end.</w:t>
      </w:r>
    </w:p>
    <w:p>
      <w:pPr>
        <w:pStyle w:val="ListBullet"/>
      </w:pPr>
      <w:r>
        <w:rPr>
          <w:rFonts w:ascii="Calibri" w:hAnsi="Calibri"/>
          <w:b w:val="0"/>
          <w:i w:val="0"/>
          <w:color w:val="211D1A"/>
          <w:sz w:val="20"/>
        </w:rPr>
        <w:t>The completion certificate is what buyers and solicitors ask for at resale. Keep it safe.</w:t>
      </w:r>
    </w:p>
    <w:p/>
    <w:p>
      <w:r>
        <w:rPr>
          <w:rFonts w:ascii="Calibri" w:hAnsi="Calibri"/>
          <w:b/>
          <w:i w:val="0"/>
          <w:color w:val="211D1A"/>
          <w:sz w:val="26"/>
        </w:rPr>
        <w:t>3. What it costs</w:t>
      </w:r>
    </w:p>
    <w:p>
      <w:r>
        <w:rPr>
          <w:rFonts w:ascii="Calibri" w:hAnsi="Calibri"/>
          <w:b w:val="0"/>
          <w:i w:val="0"/>
          <w:color w:val="57504B"/>
          <w:sz w:val="20"/>
        </w:rPr>
        <w:t>Typical UK market ranges, so you can sanity-check any quote you receive.</w:t>
      </w:r>
    </w:p>
    <w:tbl>
      <w:tblPr>
        <w:tblStyle w:val="TableGrid"/>
        <w:tblW w:type="auto" w:w="0"/>
        <w:tblLook w:firstColumn="1" w:firstRow="1" w:lastColumn="0" w:lastRow="0" w:noHBand="0" w:noVBand="1" w:val="04A0"/>
      </w:tblPr>
      <w:tblGrid>
        <w:gridCol w:w="3312"/>
        <w:gridCol w:w="3312"/>
        <w:gridCol w:w="3312"/>
      </w:tblGrid>
      <w:tr>
        <w:tc>
          <w:tcPr>
            <w:tcW w:type="dxa" w:w="3312"/>
          </w:tcPr>
          <w:p>
            <w:r/>
            <w:r>
              <w:rPr>
                <w:rFonts w:ascii="Calibri" w:hAnsi="Calibri"/>
                <w:b/>
                <w:i w:val="0"/>
                <w:color w:val="211D1A"/>
                <w:sz w:val="19"/>
              </w:rPr>
              <w:t>What</w:t>
            </w:r>
          </w:p>
        </w:tc>
        <w:tc>
          <w:tcPr>
            <w:tcW w:type="dxa" w:w="3312"/>
          </w:tcPr>
          <w:p>
            <w:r/>
            <w:r>
              <w:rPr>
                <w:rFonts w:ascii="Calibri" w:hAnsi="Calibri"/>
                <w:b/>
                <w:i w:val="0"/>
                <w:color w:val="211D1A"/>
                <w:sz w:val="19"/>
              </w:rPr>
              <w:t>Typical UK range</w:t>
            </w:r>
          </w:p>
        </w:tc>
        <w:tc>
          <w:tcPr>
            <w:tcW w:type="dxa" w:w="3312"/>
          </w:tcPr>
          <w:p>
            <w:r/>
            <w:r>
              <w:rPr>
                <w:rFonts w:ascii="Calibri" w:hAnsi="Calibri"/>
                <w:b/>
                <w:i w:val="0"/>
                <w:color w:val="211D1A"/>
                <w:sz w:val="19"/>
              </w:rPr>
              <w:t>Who it is paid to</w:t>
            </w:r>
          </w:p>
        </w:tc>
      </w:tr>
      <w:tr>
        <w:tc>
          <w:tcPr>
            <w:tcW w:type="dxa" w:w="3312"/>
          </w:tcPr>
          <w:p>
            <w:r/>
            <w:r>
              <w:rPr>
                <w:rFonts w:ascii="Calibri" w:hAnsi="Calibri"/>
                <w:b/>
                <w:i w:val="0"/>
                <w:color w:val="211D1A"/>
                <w:sz w:val="19"/>
              </w:rPr>
              <w:t>Planning drawings</w:t>
            </w:r>
          </w:p>
        </w:tc>
        <w:tc>
          <w:tcPr>
            <w:tcW w:type="dxa" w:w="3312"/>
          </w:tcPr>
          <w:p>
            <w:r/>
            <w:r>
              <w:rPr>
                <w:rFonts w:ascii="Calibri" w:hAnsi="Calibri"/>
                <w:b w:val="0"/>
                <w:i w:val="0"/>
                <w:color w:val="211D1A"/>
                <w:sz w:val="19"/>
              </w:rPr>
              <w:t>£1,200 – £2,500</w:t>
            </w:r>
          </w:p>
        </w:tc>
        <w:tc>
          <w:tcPr>
            <w:tcW w:type="dxa" w:w="3312"/>
          </w:tcPr>
          <w:p>
            <w:r/>
            <w:r>
              <w:rPr>
                <w:rFonts w:ascii="Calibri" w:hAnsi="Calibri"/>
                <w:b w:val="0"/>
                <w:i w:val="0"/>
                <w:color w:val="211D1A"/>
                <w:sz w:val="19"/>
              </w:rPr>
              <w:t>Your drawing practice</w:t>
            </w:r>
          </w:p>
        </w:tc>
      </w:tr>
      <w:tr>
        <w:tc>
          <w:tcPr>
            <w:tcW w:type="dxa" w:w="3312"/>
          </w:tcPr>
          <w:p>
            <w:r/>
            <w:r>
              <w:rPr>
                <w:rFonts w:ascii="Calibri" w:hAnsi="Calibri"/>
                <w:b/>
                <w:i w:val="0"/>
                <w:color w:val="211D1A"/>
                <w:sz w:val="19"/>
              </w:rPr>
              <w:t>Full set incl. Building Regs</w:t>
            </w:r>
          </w:p>
        </w:tc>
        <w:tc>
          <w:tcPr>
            <w:tcW w:type="dxa" w:w="3312"/>
          </w:tcPr>
          <w:p>
            <w:r/>
            <w:r>
              <w:rPr>
                <w:rFonts w:ascii="Calibri" w:hAnsi="Calibri"/>
                <w:b w:val="0"/>
                <w:i w:val="0"/>
                <w:color w:val="211D1A"/>
                <w:sz w:val="19"/>
              </w:rPr>
              <w:t>£2,500 – £5,000</w:t>
            </w:r>
          </w:p>
        </w:tc>
        <w:tc>
          <w:tcPr>
            <w:tcW w:type="dxa" w:w="3312"/>
          </w:tcPr>
          <w:p>
            <w:r/>
            <w:r>
              <w:rPr>
                <w:rFonts w:ascii="Calibri" w:hAnsi="Calibri"/>
                <w:b w:val="0"/>
                <w:i w:val="0"/>
                <w:color w:val="211D1A"/>
                <w:sz w:val="19"/>
              </w:rPr>
              <w:t>Your drawing practice</w:t>
            </w:r>
          </w:p>
        </w:tc>
      </w:tr>
      <w:tr>
        <w:tc>
          <w:tcPr>
            <w:tcW w:type="dxa" w:w="3312"/>
          </w:tcPr>
          <w:p>
            <w:r/>
            <w:r>
              <w:rPr>
                <w:rFonts w:ascii="Calibri" w:hAnsi="Calibri"/>
                <w:b/>
                <w:i w:val="0"/>
                <w:color w:val="211D1A"/>
                <w:sz w:val="19"/>
              </w:rPr>
              <w:t>Council application fee</w:t>
            </w:r>
          </w:p>
        </w:tc>
        <w:tc>
          <w:tcPr>
            <w:tcW w:type="dxa" w:w="3312"/>
          </w:tcPr>
          <w:p>
            <w:r/>
            <w:r>
              <w:rPr>
                <w:rFonts w:ascii="Calibri" w:hAnsi="Calibri"/>
                <w:b w:val="0"/>
                <w:i w:val="0"/>
                <w:color w:val="211D1A"/>
                <w:sz w:val="19"/>
              </w:rPr>
              <w:t>£548 (householder, England, from April 2026)</w:t>
            </w:r>
          </w:p>
        </w:tc>
        <w:tc>
          <w:tcPr>
            <w:tcW w:type="dxa" w:w="3312"/>
          </w:tcPr>
          <w:p>
            <w:r/>
            <w:r>
              <w:rPr>
                <w:rFonts w:ascii="Calibri" w:hAnsi="Calibri"/>
                <w:b w:val="0"/>
                <w:i w:val="0"/>
                <w:color w:val="211D1A"/>
                <w:sz w:val="19"/>
              </w:rPr>
              <w:t>Local authority</w:t>
            </w:r>
          </w:p>
        </w:tc>
      </w:tr>
      <w:tr>
        <w:tc>
          <w:tcPr>
            <w:tcW w:type="dxa" w:w="3312"/>
          </w:tcPr>
          <w:p>
            <w:r/>
            <w:r>
              <w:rPr>
                <w:rFonts w:ascii="Calibri" w:hAnsi="Calibri"/>
                <w:b/>
                <w:i w:val="0"/>
                <w:color w:val="211D1A"/>
                <w:sz w:val="19"/>
              </w:rPr>
              <w:t>Structural engineer</w:t>
            </w:r>
          </w:p>
        </w:tc>
        <w:tc>
          <w:tcPr>
            <w:tcW w:type="dxa" w:w="3312"/>
          </w:tcPr>
          <w:p>
            <w:r/>
            <w:r>
              <w:rPr>
                <w:rFonts w:ascii="Calibri" w:hAnsi="Calibri"/>
                <w:b w:val="0"/>
                <w:i w:val="0"/>
                <w:color w:val="211D1A"/>
                <w:sz w:val="19"/>
              </w:rPr>
              <w:t>£700 – £2,000</w:t>
            </w:r>
          </w:p>
        </w:tc>
        <w:tc>
          <w:tcPr>
            <w:tcW w:type="dxa" w:w="3312"/>
          </w:tcPr>
          <w:p>
            <w:r/>
            <w:r>
              <w:rPr>
                <w:rFonts w:ascii="Calibri" w:hAnsi="Calibri"/>
                <w:b w:val="0"/>
                <w:i w:val="0"/>
                <w:color w:val="211D1A"/>
                <w:sz w:val="19"/>
              </w:rPr>
              <w:t>Engineer, where structure changes</w:t>
            </w:r>
          </w:p>
        </w:tc>
      </w:tr>
      <w:tr>
        <w:tc>
          <w:tcPr>
            <w:tcW w:type="dxa" w:w="3312"/>
          </w:tcPr>
          <w:p>
            <w:r/>
            <w:r>
              <w:rPr>
                <w:rFonts w:ascii="Calibri" w:hAnsi="Calibri"/>
                <w:b/>
                <w:i w:val="0"/>
                <w:color w:val="211D1A"/>
                <w:sz w:val="19"/>
              </w:rPr>
              <w:t>Measured survey</w:t>
            </w:r>
          </w:p>
        </w:tc>
        <w:tc>
          <w:tcPr>
            <w:tcW w:type="dxa" w:w="3312"/>
          </w:tcPr>
          <w:p>
            <w:r/>
            <w:r>
              <w:rPr>
                <w:rFonts w:ascii="Calibri" w:hAnsi="Calibri"/>
                <w:b w:val="0"/>
                <w:i w:val="0"/>
                <w:color w:val="211D1A"/>
                <w:sz w:val="19"/>
              </w:rPr>
              <w:t>Up to £450, or £0 with a guided self-survey</w:t>
            </w:r>
          </w:p>
        </w:tc>
        <w:tc>
          <w:tcPr>
            <w:tcW w:type="dxa" w:w="3312"/>
          </w:tcPr>
          <w:p>
            <w:r/>
            <w:r>
              <w:rPr>
                <w:rFonts w:ascii="Calibri" w:hAnsi="Calibri"/>
                <w:b w:val="0"/>
                <w:i w:val="0"/>
                <w:color w:val="211D1A"/>
                <w:sz w:val="19"/>
              </w:rPr>
              <w:t>Surveyor</w:t>
            </w:r>
          </w:p>
        </w:tc>
      </w:tr>
    </w:tbl>
    <w:p/>
    <w:p>
      <w:r>
        <w:rPr>
          <w:rFonts w:ascii="Calibri" w:hAnsi="Calibri"/>
          <w:b/>
          <w:i w:val="0"/>
          <w:color w:val="211D1A"/>
          <w:sz w:val="26"/>
        </w:rPr>
        <w:t>4. How long it takes</w:t>
      </w:r>
    </w:p>
    <w:tbl>
      <w:tblPr>
        <w:tblStyle w:val="TableGrid"/>
        <w:tblW w:type="auto" w:w="0"/>
        <w:tblLook w:firstColumn="1" w:firstRow="1" w:lastColumn="0" w:lastRow="0" w:noHBand="0" w:noVBand="1" w:val="04A0"/>
      </w:tblPr>
      <w:tblGrid>
        <w:gridCol w:w="4968"/>
        <w:gridCol w:w="4968"/>
      </w:tblGrid>
      <w:tr>
        <w:tc>
          <w:tcPr>
            <w:tcW w:type="dxa" w:w="4968"/>
          </w:tcPr>
          <w:p>
            <w:r/>
            <w:r>
              <w:rPr>
                <w:rFonts w:ascii="Calibri" w:hAnsi="Calibri"/>
                <w:b/>
                <w:i w:val="0"/>
                <w:color w:val="211D1A"/>
                <w:sz w:val="19"/>
              </w:rPr>
              <w:t>Stage</w:t>
            </w:r>
          </w:p>
        </w:tc>
        <w:tc>
          <w:tcPr>
            <w:tcW w:type="dxa" w:w="4968"/>
          </w:tcPr>
          <w:p>
            <w:r/>
            <w:r>
              <w:rPr>
                <w:rFonts w:ascii="Calibri" w:hAnsi="Calibri"/>
                <w:b/>
                <w:i w:val="0"/>
                <w:color w:val="211D1A"/>
                <w:sz w:val="19"/>
              </w:rPr>
              <w:t>Typical time</w:t>
            </w:r>
          </w:p>
        </w:tc>
      </w:tr>
      <w:tr>
        <w:tc>
          <w:tcPr>
            <w:tcW w:type="dxa" w:w="4968"/>
          </w:tcPr>
          <w:p>
            <w:r/>
            <w:r>
              <w:rPr>
                <w:rFonts w:ascii="Calibri" w:hAnsi="Calibri"/>
                <w:b/>
                <w:i w:val="0"/>
                <w:color w:val="211D1A"/>
                <w:sz w:val="19"/>
              </w:rPr>
              <w:t>Free planning-route check</w:t>
            </w:r>
          </w:p>
        </w:tc>
        <w:tc>
          <w:tcPr>
            <w:tcW w:type="dxa" w:w="4968"/>
          </w:tcPr>
          <w:p>
            <w:r/>
            <w:r>
              <w:rPr>
                <w:rFonts w:ascii="Calibri" w:hAnsi="Calibri"/>
                <w:b w:val="0"/>
                <w:i w:val="0"/>
                <w:color w:val="211D1A"/>
                <w:sz w:val="19"/>
              </w:rPr>
              <w:t>Same working day</w:t>
            </w:r>
          </w:p>
        </w:tc>
      </w:tr>
      <w:tr>
        <w:tc>
          <w:tcPr>
            <w:tcW w:type="dxa" w:w="4968"/>
          </w:tcPr>
          <w:p>
            <w:r/>
            <w:r>
              <w:rPr>
                <w:rFonts w:ascii="Calibri" w:hAnsi="Calibri"/>
                <w:b/>
                <w:i w:val="0"/>
                <w:color w:val="211D1A"/>
                <w:sz w:val="19"/>
              </w:rPr>
              <w:t>First draft drawings</w:t>
            </w:r>
          </w:p>
        </w:tc>
        <w:tc>
          <w:tcPr>
            <w:tcW w:type="dxa" w:w="4968"/>
          </w:tcPr>
          <w:p>
            <w:r/>
            <w:r>
              <w:rPr>
                <w:rFonts w:ascii="Calibri" w:hAnsi="Calibri"/>
                <w:b w:val="0"/>
                <w:i w:val="0"/>
                <w:color w:val="211D1A"/>
                <w:sz w:val="19"/>
              </w:rPr>
              <w:t>10 working days</w:t>
            </w:r>
          </w:p>
        </w:tc>
      </w:tr>
      <w:tr>
        <w:tc>
          <w:tcPr>
            <w:tcW w:type="dxa" w:w="4968"/>
          </w:tcPr>
          <w:p>
            <w:r/>
            <w:r>
              <w:rPr>
                <w:rFonts w:ascii="Calibri" w:hAnsi="Calibri"/>
                <w:b/>
                <w:i w:val="0"/>
                <w:color w:val="211D1A"/>
                <w:sz w:val="19"/>
              </w:rPr>
              <w:t>Revisions until you are happy</w:t>
            </w:r>
          </w:p>
        </w:tc>
        <w:tc>
          <w:tcPr>
            <w:tcW w:type="dxa" w:w="4968"/>
          </w:tcPr>
          <w:p>
            <w:r/>
            <w:r>
              <w:rPr>
                <w:rFonts w:ascii="Calibri" w:hAnsi="Calibri"/>
                <w:b w:val="0"/>
                <w:i w:val="0"/>
                <w:color w:val="211D1A"/>
                <w:sz w:val="19"/>
              </w:rPr>
              <w:t>Unlimited, usually 1 to 2 rounds</w:t>
            </w:r>
          </w:p>
        </w:tc>
      </w:tr>
      <w:tr>
        <w:tc>
          <w:tcPr>
            <w:tcW w:type="dxa" w:w="4968"/>
          </w:tcPr>
          <w:p>
            <w:r/>
            <w:r>
              <w:rPr>
                <w:rFonts w:ascii="Calibri" w:hAnsi="Calibri"/>
                <w:b/>
                <w:i w:val="0"/>
                <w:color w:val="211D1A"/>
                <w:sz w:val="19"/>
              </w:rPr>
              <w:t>Council decision</w:t>
            </w:r>
          </w:p>
        </w:tc>
        <w:tc>
          <w:tcPr>
            <w:tcW w:type="dxa" w:w="4968"/>
          </w:tcPr>
          <w:p>
            <w:r/>
            <w:r>
              <w:rPr>
                <w:rFonts w:ascii="Calibri" w:hAnsi="Calibri"/>
                <w:b w:val="0"/>
                <w:i w:val="0"/>
                <w:color w:val="211D1A"/>
                <w:sz w:val="19"/>
              </w:rPr>
              <w:t>6 to 8 weeks from validation</w:t>
            </w:r>
          </w:p>
        </w:tc>
      </w:tr>
      <w:tr>
        <w:tc>
          <w:tcPr>
            <w:tcW w:type="dxa" w:w="4968"/>
          </w:tcPr>
          <w:p>
            <w:r/>
            <w:r>
              <w:rPr>
                <w:rFonts w:ascii="Calibri" w:hAnsi="Calibri"/>
                <w:b/>
                <w:i w:val="0"/>
                <w:color w:val="211D1A"/>
                <w:sz w:val="19"/>
              </w:rPr>
              <w:t>Building Regulations set</w:t>
            </w:r>
          </w:p>
        </w:tc>
        <w:tc>
          <w:tcPr>
            <w:tcW w:type="dxa" w:w="4968"/>
          </w:tcPr>
          <w:p>
            <w:r/>
            <w:r>
              <w:rPr>
                <w:rFonts w:ascii="Calibri" w:hAnsi="Calibri"/>
                <w:b w:val="0"/>
                <w:i w:val="0"/>
                <w:color w:val="211D1A"/>
                <w:sz w:val="19"/>
              </w:rPr>
              <w:t>1 to 2 weeks after approval</w:t>
            </w:r>
          </w:p>
        </w:tc>
      </w:tr>
    </w:tbl>
    <w:p/>
    <w:p>
      <w:r>
        <w:rPr>
          <w:rFonts w:ascii="Calibri" w:hAnsi="Calibri"/>
          <w:b/>
          <w:i w:val="0"/>
          <w:color w:val="211D1A"/>
          <w:sz w:val="26"/>
        </w:rPr>
        <w:t>5. Your checklist</w:t>
      </w:r>
    </w:p>
    <w:p>
      <w:r>
        <w:rPr>
          <w:rFonts w:ascii="Calibri" w:hAnsi="Calibri"/>
          <w:b w:val="0"/>
          <w:i w:val="0"/>
          <w:color w:val="211D1A"/>
          <w:sz w:val="21"/>
        </w:rPr>
        <w:t>☐  Confirm which approvals your project needs</w:t>
      </w:r>
    </w:p>
    <w:p>
      <w:r>
        <w:rPr>
          <w:rFonts w:ascii="Calibri" w:hAnsi="Calibri"/>
          <w:b w:val="0"/>
          <w:i w:val="0"/>
          <w:color w:val="211D1A"/>
          <w:sz w:val="21"/>
        </w:rPr>
        <w:t>☐  Commission existing and proposed drawings to scale</w:t>
      </w:r>
    </w:p>
    <w:p>
      <w:r>
        <w:rPr>
          <w:rFonts w:ascii="Calibri" w:hAnsi="Calibri"/>
          <w:b w:val="0"/>
          <w:i w:val="0"/>
          <w:color w:val="211D1A"/>
          <w:sz w:val="21"/>
        </w:rPr>
        <w:t>☐  Include structural calculations where required</w:t>
      </w:r>
    </w:p>
    <w:p>
      <w:r>
        <w:rPr>
          <w:rFonts w:ascii="Calibri" w:hAnsi="Calibri"/>
          <w:b w:val="0"/>
          <w:i w:val="0"/>
          <w:color w:val="211D1A"/>
          <w:sz w:val="21"/>
        </w:rPr>
        <w:t>☐  Book building control inspections at the right stages</w:t>
      </w:r>
    </w:p>
    <w:p>
      <w:r>
        <w:rPr>
          <w:rFonts w:ascii="Calibri" w:hAnsi="Calibri"/>
          <w:b w:val="0"/>
          <w:i w:val="0"/>
          <w:color w:val="211D1A"/>
          <w:sz w:val="21"/>
        </w:rPr>
        <w:t>☐  Keep the completion certificate</w:t>
      </w:r>
    </w:p>
    <w:p/>
    <w:p>
      <w:r>
        <w:rPr>
          <w:rFonts w:ascii="Calibri" w:hAnsi="Calibri"/>
          <w:b/>
          <w:i w:val="0"/>
          <w:color w:val="211D1A"/>
          <w:sz w:val="26"/>
        </w:rPr>
        <w:t>6. Questions people ask</w:t>
      </w:r>
    </w:p>
    <w:p>
      <w:r>
        <w:rPr>
          <w:rFonts w:ascii="Calibri" w:hAnsi="Calibri"/>
          <w:b/>
          <w:i w:val="0"/>
          <w:color w:val="211D1A"/>
          <w:sz w:val="21"/>
        </w:rPr>
        <w:t>What is in a Building Regulations set?</w:t>
      </w:r>
    </w:p>
    <w:p>
      <w:r>
        <w:rPr>
          <w:rFonts w:ascii="Calibri" w:hAnsi="Calibri"/>
          <w:b w:val="0"/>
          <w:i w:val="0"/>
          <w:color w:val="57504B"/>
          <w:sz w:val="21"/>
        </w:rPr>
        <w:t>Plans, sections and construction details covering structure, fire safety, insulation, ventilation and drainage, with notes for building control.</w:t>
      </w:r>
    </w:p>
    <w:p>
      <w:r>
        <w:rPr>
          <w:rFonts w:ascii="Calibri" w:hAnsi="Calibri"/>
          <w:b/>
          <w:i w:val="0"/>
          <w:color w:val="211D1A"/>
          <w:sz w:val="21"/>
        </w:rPr>
        <w:t>Can I use planning drawings to build from?</w:t>
      </w:r>
    </w:p>
    <w:p>
      <w:r>
        <w:rPr>
          <w:rFonts w:ascii="Calibri" w:hAnsi="Calibri"/>
          <w:b w:val="0"/>
          <w:i w:val="0"/>
          <w:color w:val="57504B"/>
          <w:sz w:val="21"/>
        </w:rPr>
        <w:t>No. They show what is being built, not how. Building from planning drawings alone is how disputes start on site.</w:t>
      </w:r>
    </w:p>
    <w:p>
      <w:r>
        <w:rPr>
          <w:rFonts w:ascii="Calibri" w:hAnsi="Calibri"/>
          <w:b/>
          <w:i w:val="0"/>
          <w:color w:val="211D1A"/>
          <w:sz w:val="21"/>
        </w:rPr>
        <w:t>Do you deal with building control?</w:t>
      </w:r>
    </w:p>
    <w:p>
      <w:r>
        <w:rPr>
          <w:rFonts w:ascii="Calibri" w:hAnsi="Calibri"/>
          <w:b w:val="0"/>
          <w:i w:val="0"/>
          <w:color w:val="57504B"/>
          <w:sz w:val="21"/>
        </w:rPr>
        <w:t>We prepare the submission pack and support the review, so queries are answered rather than left with you.</w:t>
      </w:r>
    </w:p>
    <w:p/>
    <w:p>
      <w:r>
        <w:rPr>
          <w:rFonts w:ascii="Calibri" w:hAnsi="Calibri"/>
          <w:b/>
          <w:i w:val="0"/>
          <w:color w:val="C2402A"/>
          <w:sz w:val="24"/>
        </w:rPr>
        <w:t>Get your free planning-route check</w:t>
      </w:r>
    </w:p>
    <w:p>
      <w:r>
        <w:rPr>
          <w:rFonts w:ascii="Calibri" w:hAnsi="Calibri"/>
          <w:b w:val="0"/>
          <w:i w:val="0"/>
          <w:color w:val="211D1A"/>
          <w:sz w:val="20"/>
        </w:rPr>
        <w:t>Send your postcode and what you are planning. You get the route in writing, the drawings you need, and one fixed price, usually the same working day. If any application we submit is refused, you get a 100% refund within 5 days.</w:t>
      </w:r>
    </w:p>
    <w:p>
      <w:r>
        <w:rPr>
          <w:rFonts w:ascii="Calibri" w:hAnsi="Calibri"/>
          <w:b/>
          <w:i w:val="0"/>
          <w:color w:val="211D1A"/>
          <w:sz w:val="20"/>
        </w:rPr>
        <w:t>exparc.co.uk/get-a-quote  ·  info@exparc.co.uk  ·  +44 118 207 2681</w:t>
      </w:r>
    </w:p>
    <w:p>
      <w:r>
        <w:rPr>
          <w:rFonts w:ascii="Calibri" w:hAnsi="Calibri"/>
          <w:b w:val="0"/>
          <w:i w:val="0"/>
          <w:color w:val="57504B"/>
          <w:sz w:val="16"/>
        </w:rPr>
        <w:t>General information for UK projects, not planning advice for a specific property. Exp-Arc Limited, company no. 16980239.</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