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Garden Rooms &amp; Outbuildings Guide</w:t>
      </w:r>
    </w:p>
    <w:p>
      <w:r>
        <w:rPr>
          <w:rFonts w:ascii="Calibri" w:hAnsi="Calibri"/>
          <w:b w:val="0"/>
          <w:i w:val="0"/>
          <w:color w:val="57504B"/>
          <w:sz w:val="22"/>
        </w:rPr>
        <w:t>When garden rooms need permission, and the limits that catch people out.</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Permitted Development</w:t>
            </w:r>
          </w:p>
        </w:tc>
        <w:tc>
          <w:tcPr>
            <w:tcW w:type="dxa" w:w="3312"/>
          </w:tcPr>
          <w:p>
            <w:r/>
            <w:r>
              <w:rPr>
                <w:rFonts w:ascii="Calibri" w:hAnsi="Calibri"/>
                <w:b w:val="0"/>
                <w:i w:val="0"/>
                <w:color w:val="211D1A"/>
                <w:sz w:val="19"/>
              </w:rPr>
              <w:t>Single-storey, incidental use, within height and area limits</w:t>
            </w:r>
          </w:p>
        </w:tc>
        <w:tc>
          <w:tcPr>
            <w:tcW w:type="dxa" w:w="3312"/>
          </w:tcPr>
          <w:p>
            <w:r/>
            <w:r>
              <w:rPr>
                <w:rFonts w:ascii="Calibri" w:hAnsi="Calibri"/>
                <w:b w:val="0"/>
                <w:i w:val="0"/>
                <w:color w:val="211D1A"/>
                <w:sz w:val="19"/>
              </w:rPr>
              <w:t>Lawful development certificate advised</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Sleeping accommodation, separate dwellings, designated land</w:t>
            </w:r>
          </w:p>
        </w:tc>
        <w:tc>
          <w:tcPr>
            <w:tcW w:type="dxa" w:w="3312"/>
          </w:tcPr>
          <w:p>
            <w:r/>
            <w:r>
              <w:rPr>
                <w:rFonts w:ascii="Calibri" w:hAnsi="Calibri"/>
                <w:b w:val="0"/>
                <w:i w:val="0"/>
                <w:color w:val="211D1A"/>
                <w:sz w:val="19"/>
              </w:rPr>
              <w:t>Full application with drawings</w:t>
            </w:r>
          </w:p>
        </w:tc>
      </w:tr>
      <w:tr>
        <w:tc>
          <w:tcPr>
            <w:tcW w:type="dxa" w:w="3312"/>
          </w:tcPr>
          <w:p>
            <w:r/>
            <w:r>
              <w:rPr>
                <w:rFonts w:ascii="Calibri" w:hAnsi="Calibri"/>
                <w:b/>
                <w:i w:val="0"/>
                <w:color w:val="211D1A"/>
                <w:sz w:val="19"/>
              </w:rPr>
              <w:t>Building Regulations</w:t>
            </w:r>
          </w:p>
        </w:tc>
        <w:tc>
          <w:tcPr>
            <w:tcW w:type="dxa" w:w="3312"/>
          </w:tcPr>
          <w:p>
            <w:r/>
            <w:r>
              <w:rPr>
                <w:rFonts w:ascii="Calibri" w:hAnsi="Calibri"/>
                <w:b w:val="0"/>
                <w:i w:val="0"/>
                <w:color w:val="211D1A"/>
                <w:sz w:val="19"/>
              </w:rPr>
              <w:t>Larger buildings, sleeping use, some electrical work</w:t>
            </w:r>
          </w:p>
        </w:tc>
        <w:tc>
          <w:tcPr>
            <w:tcW w:type="dxa" w:w="3312"/>
          </w:tcPr>
          <w:p>
            <w:r/>
            <w:r>
              <w:rPr>
                <w:rFonts w:ascii="Calibri" w:hAnsi="Calibri"/>
                <w:b w:val="0"/>
                <w:i w:val="0"/>
                <w:color w:val="211D1A"/>
                <w:sz w:val="19"/>
              </w:rPr>
              <w:t>Technical drawings where applicable</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Within 2m of a boundary the overall height cap is usually 2.5m, which is the single most common trip-up.</w:t>
      </w:r>
    </w:p>
    <w:p>
      <w:pPr>
        <w:pStyle w:val="ListBullet"/>
      </w:pPr>
      <w:r>
        <w:rPr>
          <w:rFonts w:ascii="Calibri" w:hAnsi="Calibri"/>
          <w:b w:val="0"/>
          <w:i w:val="0"/>
          <w:color w:val="211D1A"/>
          <w:sz w:val="20"/>
        </w:rPr>
        <w:t>Outbuildings must be incidental to the house. Anything you sleep in changes the position entirely.</w:t>
      </w:r>
    </w:p>
    <w:p>
      <w:pPr>
        <w:pStyle w:val="ListBullet"/>
      </w:pPr>
      <w:r>
        <w:rPr>
          <w:rFonts w:ascii="Calibri" w:hAnsi="Calibri"/>
          <w:b w:val="0"/>
          <w:i w:val="0"/>
          <w:color w:val="211D1A"/>
          <w:sz w:val="20"/>
        </w:rPr>
        <w:t>Conservation areas and Article 4 directions reduce or remove permitted development rights.</w:t>
      </w:r>
    </w:p>
    <w:p>
      <w:pPr>
        <w:pStyle w:val="ListBullet"/>
      </w:pPr>
      <w:r>
        <w:rPr>
          <w:rFonts w:ascii="Calibri" w:hAnsi="Calibri"/>
          <w:b w:val="0"/>
          <w:i w:val="0"/>
          <w:color w:val="211D1A"/>
          <w:sz w:val="20"/>
        </w:rPr>
        <w:t>Coverage matters: outbuildings must not take up more than half the land around the original house.</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Measure the distance to every boundary</w:t>
      </w:r>
    </w:p>
    <w:p>
      <w:r>
        <w:rPr>
          <w:rFonts w:ascii="Calibri" w:hAnsi="Calibri"/>
          <w:b w:val="0"/>
          <w:i w:val="0"/>
          <w:color w:val="211D1A"/>
          <w:sz w:val="21"/>
        </w:rPr>
        <w:t>☐  Confirm the intended use is incidental</w:t>
      </w:r>
    </w:p>
    <w:p>
      <w:r>
        <w:rPr>
          <w:rFonts w:ascii="Calibri" w:hAnsi="Calibri"/>
          <w:b w:val="0"/>
          <w:i w:val="0"/>
          <w:color w:val="211D1A"/>
          <w:sz w:val="21"/>
        </w:rPr>
        <w:t>☐  Check conservation area and Article 4 status</w:t>
      </w:r>
    </w:p>
    <w:p>
      <w:r>
        <w:rPr>
          <w:rFonts w:ascii="Calibri" w:hAnsi="Calibri"/>
          <w:b w:val="0"/>
          <w:i w:val="0"/>
          <w:color w:val="211D1A"/>
          <w:sz w:val="21"/>
        </w:rPr>
        <w:t>☐  Check total garden coverage</w:t>
      </w:r>
    </w:p>
    <w:p>
      <w:r>
        <w:rPr>
          <w:rFonts w:ascii="Calibri" w:hAnsi="Calibri"/>
          <w:b w:val="0"/>
          <w:i w:val="0"/>
          <w:color w:val="211D1A"/>
          <w:sz w:val="21"/>
        </w:rPr>
        <w:t>☐  Plan power, insulation and drainage</w:t>
      </w:r>
    </w:p>
    <w:p>
      <w:r>
        <w:rPr>
          <w:rFonts w:ascii="Calibri" w:hAnsi="Calibri"/>
          <w:b w:val="0"/>
          <w:i w:val="0"/>
          <w:color w:val="211D1A"/>
          <w:sz w:val="21"/>
        </w:rPr>
        <w:t>☐  Get the position confirmed in writing before buying a building</w:t>
      </w:r>
    </w:p>
    <w:p/>
    <w:p>
      <w:r>
        <w:rPr>
          <w:rFonts w:ascii="Calibri" w:hAnsi="Calibri"/>
          <w:b/>
          <w:i w:val="0"/>
          <w:color w:val="211D1A"/>
          <w:sz w:val="26"/>
        </w:rPr>
        <w:t>6. Questions people ask</w:t>
      </w:r>
    </w:p>
    <w:p>
      <w:r>
        <w:rPr>
          <w:rFonts w:ascii="Calibri" w:hAnsi="Calibri"/>
          <w:b/>
          <w:i w:val="0"/>
          <w:color w:val="211D1A"/>
          <w:sz w:val="21"/>
        </w:rPr>
        <w:t>Do I need permission for a garden office?</w:t>
      </w:r>
    </w:p>
    <w:p>
      <w:r>
        <w:rPr>
          <w:rFonts w:ascii="Calibri" w:hAnsi="Calibri"/>
          <w:b w:val="0"/>
          <w:i w:val="0"/>
          <w:color w:val="57504B"/>
          <w:sz w:val="21"/>
        </w:rPr>
        <w:t>Usually not, if it is single storey, within the height limits for its position, and used as an office rather than accommodation.</w:t>
      </w:r>
    </w:p>
    <w:p>
      <w:r>
        <w:rPr>
          <w:rFonts w:ascii="Calibri" w:hAnsi="Calibri"/>
          <w:b/>
          <w:i w:val="0"/>
          <w:color w:val="211D1A"/>
          <w:sz w:val="21"/>
        </w:rPr>
        <w:t>Can I sleep in it?</w:t>
      </w:r>
    </w:p>
    <w:p>
      <w:r>
        <w:rPr>
          <w:rFonts w:ascii="Calibri" w:hAnsi="Calibri"/>
          <w:b w:val="0"/>
          <w:i w:val="0"/>
          <w:color w:val="57504B"/>
          <w:sz w:val="21"/>
        </w:rPr>
        <w:t>That normally takes it outside permitted development and into a full planning application, and it engages Building Regulations.</w:t>
      </w:r>
    </w:p>
    <w:p>
      <w:r>
        <w:rPr>
          <w:rFonts w:ascii="Calibri" w:hAnsi="Calibri"/>
          <w:b/>
          <w:i w:val="0"/>
          <w:color w:val="211D1A"/>
          <w:sz w:val="21"/>
        </w:rPr>
        <w:t>What if it is close to the fence?</w:t>
      </w:r>
    </w:p>
    <w:p>
      <w:r>
        <w:rPr>
          <w:rFonts w:ascii="Calibri" w:hAnsi="Calibri"/>
          <w:b w:val="0"/>
          <w:i w:val="0"/>
          <w:color w:val="57504B"/>
          <w:sz w:val="21"/>
        </w:rPr>
        <w:t>Within 2m of a boundary the height limit drops to about 2.5m overall, which rules out most pitched roofs.</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