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i w:val="0"/>
          <w:color w:val="C2402A"/>
          <w:sz w:val="17"/>
        </w:rPr>
        <w:t>EXP | ARC  ·  FREE GUIDE</w:t>
      </w:r>
    </w:p>
    <w:p>
      <w:r>
        <w:rPr>
          <w:rFonts w:ascii="Calibri" w:hAnsi="Calibri"/>
          <w:b/>
          <w:i w:val="0"/>
          <w:color w:val="211D1A"/>
          <w:sz w:val="40"/>
        </w:rPr>
        <w:t>The Residential Extension Guide</w:t>
      </w:r>
    </w:p>
    <w:p>
      <w:r>
        <w:rPr>
          <w:rFonts w:ascii="Calibri" w:hAnsi="Calibri"/>
          <w:b w:val="0"/>
          <w:i w:val="0"/>
          <w:color w:val="57504B"/>
          <w:sz w:val="22"/>
        </w:rPr>
        <w:t>Your planning route, the real limits, and the mistakes that get extensions refused.</w:t>
      </w:r>
    </w:p>
    <w:p>
      <w:r>
        <w:rPr>
          <w:rFonts w:ascii="Calibri" w:hAnsi="Calibri"/>
          <w:b w:val="0"/>
          <w:i/>
          <w:color w:val="57504B"/>
          <w:sz w:val="18"/>
        </w:rPr>
        <w:t>This is the editable Word version. The PDF and all our other guides are at exparc.co.uk/free-guides</w:t>
      </w:r>
    </w:p>
    <w:p/>
    <w:p>
      <w:r>
        <w:rPr>
          <w:rFonts w:ascii="Calibri" w:hAnsi="Calibri"/>
          <w:b/>
          <w:i w:val="0"/>
          <w:color w:val="211D1A"/>
          <w:sz w:val="26"/>
        </w:rPr>
        <w:t>1. Your approval routes</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Route</w:t>
            </w:r>
          </w:p>
        </w:tc>
        <w:tc>
          <w:tcPr>
            <w:tcW w:type="dxa" w:w="3312"/>
          </w:tcPr>
          <w:p>
            <w:r/>
            <w:r>
              <w:rPr>
                <w:rFonts w:ascii="Calibri" w:hAnsi="Calibri"/>
                <w:b/>
                <w:i w:val="0"/>
                <w:color w:val="211D1A"/>
                <w:sz w:val="19"/>
              </w:rPr>
              <w:t>When it applies</w:t>
            </w:r>
          </w:p>
        </w:tc>
        <w:tc>
          <w:tcPr>
            <w:tcW w:type="dxa" w:w="3312"/>
          </w:tcPr>
          <w:p>
            <w:r/>
            <w:r>
              <w:rPr>
                <w:rFonts w:ascii="Calibri" w:hAnsi="Calibri"/>
                <w:b/>
                <w:i w:val="0"/>
                <w:color w:val="211D1A"/>
                <w:sz w:val="19"/>
              </w:rPr>
              <w:t>What you submit</w:t>
            </w:r>
          </w:p>
        </w:tc>
      </w:tr>
      <w:tr>
        <w:tc>
          <w:tcPr>
            <w:tcW w:type="dxa" w:w="3312"/>
          </w:tcPr>
          <w:p>
            <w:r/>
            <w:r>
              <w:rPr>
                <w:rFonts w:ascii="Calibri" w:hAnsi="Calibri"/>
                <w:b/>
                <w:i w:val="0"/>
                <w:color w:val="211D1A"/>
                <w:sz w:val="19"/>
              </w:rPr>
              <w:t>Permitted Development</w:t>
            </w:r>
          </w:p>
        </w:tc>
        <w:tc>
          <w:tcPr>
            <w:tcW w:type="dxa" w:w="3312"/>
          </w:tcPr>
          <w:p>
            <w:r/>
            <w:r>
              <w:rPr>
                <w:rFonts w:ascii="Calibri" w:hAnsi="Calibri"/>
                <w:b w:val="0"/>
                <w:i w:val="0"/>
                <w:color w:val="211D1A"/>
                <w:sz w:val="19"/>
              </w:rPr>
              <w:t>Many single-storey rear extensions within depth, height and boundary limits</w:t>
            </w:r>
          </w:p>
        </w:tc>
        <w:tc>
          <w:tcPr>
            <w:tcW w:type="dxa" w:w="3312"/>
          </w:tcPr>
          <w:p>
            <w:r/>
            <w:r>
              <w:rPr>
                <w:rFonts w:ascii="Calibri" w:hAnsi="Calibri"/>
                <w:b w:val="0"/>
                <w:i w:val="0"/>
                <w:color w:val="211D1A"/>
                <w:sz w:val="19"/>
              </w:rPr>
              <w:t>Nothing, though a lawful development certificate is strongly advised</w:t>
            </w:r>
          </w:p>
        </w:tc>
      </w:tr>
      <w:tr>
        <w:tc>
          <w:tcPr>
            <w:tcW w:type="dxa" w:w="3312"/>
          </w:tcPr>
          <w:p>
            <w:r/>
            <w:r>
              <w:rPr>
                <w:rFonts w:ascii="Calibri" w:hAnsi="Calibri"/>
                <w:b/>
                <w:i w:val="0"/>
                <w:color w:val="211D1A"/>
                <w:sz w:val="19"/>
              </w:rPr>
              <w:t>Prior Approval</w:t>
            </w:r>
          </w:p>
        </w:tc>
        <w:tc>
          <w:tcPr>
            <w:tcW w:type="dxa" w:w="3312"/>
          </w:tcPr>
          <w:p>
            <w:r/>
            <w:r>
              <w:rPr>
                <w:rFonts w:ascii="Calibri" w:hAnsi="Calibri"/>
                <w:b w:val="0"/>
                <w:i w:val="0"/>
                <w:color w:val="211D1A"/>
                <w:sz w:val="19"/>
              </w:rPr>
              <w:t>Larger single-storey rear extensions (up to 6m or 8m)</w:t>
            </w:r>
          </w:p>
        </w:tc>
        <w:tc>
          <w:tcPr>
            <w:tcW w:type="dxa" w:w="3312"/>
          </w:tcPr>
          <w:p>
            <w:r/>
            <w:r>
              <w:rPr>
                <w:rFonts w:ascii="Calibri" w:hAnsi="Calibri"/>
                <w:b w:val="0"/>
                <w:i w:val="0"/>
                <w:color w:val="211D1A"/>
                <w:sz w:val="19"/>
              </w:rPr>
              <w:t>Notification, drawings, neighbour consultation</w:t>
            </w:r>
          </w:p>
        </w:tc>
      </w:tr>
      <w:tr>
        <w:tc>
          <w:tcPr>
            <w:tcW w:type="dxa" w:w="3312"/>
          </w:tcPr>
          <w:p>
            <w:r/>
            <w:r>
              <w:rPr>
                <w:rFonts w:ascii="Calibri" w:hAnsi="Calibri"/>
                <w:b/>
                <w:i w:val="0"/>
                <w:color w:val="211D1A"/>
                <w:sz w:val="19"/>
              </w:rPr>
              <w:t>Full Planning</w:t>
            </w:r>
          </w:p>
        </w:tc>
        <w:tc>
          <w:tcPr>
            <w:tcW w:type="dxa" w:w="3312"/>
          </w:tcPr>
          <w:p>
            <w:r/>
            <w:r>
              <w:rPr>
                <w:rFonts w:ascii="Calibri" w:hAnsi="Calibri"/>
                <w:b w:val="0"/>
                <w:i w:val="0"/>
                <w:color w:val="211D1A"/>
                <w:sz w:val="19"/>
              </w:rPr>
              <w:t>Two-storey, side, front, or anything in a conservation area</w:t>
            </w:r>
          </w:p>
        </w:tc>
        <w:tc>
          <w:tcPr>
            <w:tcW w:type="dxa" w:w="3312"/>
          </w:tcPr>
          <w:p>
            <w:r/>
            <w:r>
              <w:rPr>
                <w:rFonts w:ascii="Calibri" w:hAnsi="Calibri"/>
                <w:b w:val="0"/>
                <w:i w:val="0"/>
                <w:color w:val="211D1A"/>
                <w:sz w:val="19"/>
              </w:rPr>
              <w:t>Full application with drawings and plans</w:t>
            </w:r>
          </w:p>
        </w:tc>
      </w:tr>
    </w:tbl>
    <w:p/>
    <w:p>
      <w:r>
        <w:rPr>
          <w:rFonts w:ascii="Calibri" w:hAnsi="Calibri"/>
          <w:b/>
          <w:i w:val="0"/>
          <w:color w:val="211D1A"/>
          <w:sz w:val="26"/>
        </w:rPr>
        <w:t>2. What trips people up</w:t>
      </w:r>
    </w:p>
    <w:p>
      <w:pPr>
        <w:pStyle w:val="ListBullet"/>
      </w:pPr>
      <w:r>
        <w:rPr>
          <w:rFonts w:ascii="Calibri" w:hAnsi="Calibri"/>
          <w:b w:val="0"/>
          <w:i w:val="0"/>
          <w:color w:val="211D1A"/>
          <w:sz w:val="20"/>
        </w:rPr>
        <w:t>Earlier extensions eat your allowance. Permitted development is measured against the original house, not the house you bought.</w:t>
      </w:r>
    </w:p>
    <w:p>
      <w:pPr>
        <w:pStyle w:val="ListBullet"/>
      </w:pPr>
      <w:r>
        <w:rPr>
          <w:rFonts w:ascii="Calibri" w:hAnsi="Calibri"/>
          <w:b w:val="0"/>
          <w:i w:val="0"/>
          <w:color w:val="211D1A"/>
          <w:sz w:val="20"/>
        </w:rPr>
        <w:t>Depth limits differ by house type: roughly 3m detached versus 4m for others under standard rights, and 6m or 8m through prior approval.</w:t>
      </w:r>
    </w:p>
    <w:p>
      <w:pPr>
        <w:pStyle w:val="ListBullet"/>
      </w:pPr>
      <w:r>
        <w:rPr>
          <w:rFonts w:ascii="Calibri" w:hAnsi="Calibri"/>
          <w:b w:val="0"/>
          <w:i w:val="0"/>
          <w:color w:val="211D1A"/>
          <w:sz w:val="20"/>
        </w:rPr>
        <w:t>Planning permission and Building Regulations are separate approvals. Getting one does not give you the other.</w:t>
      </w:r>
    </w:p>
    <w:p>
      <w:pPr>
        <w:pStyle w:val="ListBullet"/>
      </w:pPr>
      <w:r>
        <w:rPr>
          <w:rFonts w:ascii="Calibri" w:hAnsi="Calibri"/>
          <w:b w:val="0"/>
          <w:i w:val="0"/>
          <w:color w:val="211D1A"/>
          <w:sz w:val="20"/>
        </w:rPr>
        <w:t>Percentage fees move with your build cost. A fixed written price is the only way to know your number up front.</w:t>
      </w:r>
    </w:p>
    <w:p/>
    <w:p>
      <w:r>
        <w:rPr>
          <w:rFonts w:ascii="Calibri" w:hAnsi="Calibri"/>
          <w:b/>
          <w:i w:val="0"/>
          <w:color w:val="211D1A"/>
          <w:sz w:val="26"/>
        </w:rPr>
        <w:t>3. What it costs</w:t>
      </w:r>
    </w:p>
    <w:p>
      <w:r>
        <w:rPr>
          <w:rFonts w:ascii="Calibri" w:hAnsi="Calibri"/>
          <w:b w:val="0"/>
          <w:i w:val="0"/>
          <w:color w:val="57504B"/>
          <w:sz w:val="20"/>
        </w:rPr>
        <w:t>Typical UK market ranges, so you can sanity-check any quote you receive.</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What</w:t>
            </w:r>
          </w:p>
        </w:tc>
        <w:tc>
          <w:tcPr>
            <w:tcW w:type="dxa" w:w="3312"/>
          </w:tcPr>
          <w:p>
            <w:r/>
            <w:r>
              <w:rPr>
                <w:rFonts w:ascii="Calibri" w:hAnsi="Calibri"/>
                <w:b/>
                <w:i w:val="0"/>
                <w:color w:val="211D1A"/>
                <w:sz w:val="19"/>
              </w:rPr>
              <w:t>Typical UK range</w:t>
            </w:r>
          </w:p>
        </w:tc>
        <w:tc>
          <w:tcPr>
            <w:tcW w:type="dxa" w:w="3312"/>
          </w:tcPr>
          <w:p>
            <w:r/>
            <w:r>
              <w:rPr>
                <w:rFonts w:ascii="Calibri" w:hAnsi="Calibri"/>
                <w:b/>
                <w:i w:val="0"/>
                <w:color w:val="211D1A"/>
                <w:sz w:val="19"/>
              </w:rPr>
              <w:t>Who it is paid to</w:t>
            </w:r>
          </w:p>
        </w:tc>
      </w:tr>
      <w:tr>
        <w:tc>
          <w:tcPr>
            <w:tcW w:type="dxa" w:w="3312"/>
          </w:tcPr>
          <w:p>
            <w:r/>
            <w:r>
              <w:rPr>
                <w:rFonts w:ascii="Calibri" w:hAnsi="Calibri"/>
                <w:b/>
                <w:i w:val="0"/>
                <w:color w:val="211D1A"/>
                <w:sz w:val="19"/>
              </w:rPr>
              <w:t>Planning drawings</w:t>
            </w:r>
          </w:p>
        </w:tc>
        <w:tc>
          <w:tcPr>
            <w:tcW w:type="dxa" w:w="3312"/>
          </w:tcPr>
          <w:p>
            <w:r/>
            <w:r>
              <w:rPr>
                <w:rFonts w:ascii="Calibri" w:hAnsi="Calibri"/>
                <w:b w:val="0"/>
                <w:i w:val="0"/>
                <w:color w:val="211D1A"/>
                <w:sz w:val="19"/>
              </w:rPr>
              <w:t>£1,200 – £2,500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Full set incl. Building Regs</w:t>
            </w:r>
          </w:p>
        </w:tc>
        <w:tc>
          <w:tcPr>
            <w:tcW w:type="dxa" w:w="3312"/>
          </w:tcPr>
          <w:p>
            <w:r/>
            <w:r>
              <w:rPr>
                <w:rFonts w:ascii="Calibri" w:hAnsi="Calibri"/>
                <w:b w:val="0"/>
                <w:i w:val="0"/>
                <w:color w:val="211D1A"/>
                <w:sz w:val="19"/>
              </w:rPr>
              <w:t>£2,500 – £5,000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Council application fee</w:t>
            </w:r>
          </w:p>
        </w:tc>
        <w:tc>
          <w:tcPr>
            <w:tcW w:type="dxa" w:w="3312"/>
          </w:tcPr>
          <w:p>
            <w:r/>
            <w:r>
              <w:rPr>
                <w:rFonts w:ascii="Calibri" w:hAnsi="Calibri"/>
                <w:b w:val="0"/>
                <w:i w:val="0"/>
                <w:color w:val="211D1A"/>
                <w:sz w:val="19"/>
              </w:rPr>
              <w:t>£548 (householder, England, from April 2026)</w:t>
            </w:r>
          </w:p>
        </w:tc>
        <w:tc>
          <w:tcPr>
            <w:tcW w:type="dxa" w:w="3312"/>
          </w:tcPr>
          <w:p>
            <w:r/>
            <w:r>
              <w:rPr>
                <w:rFonts w:ascii="Calibri" w:hAnsi="Calibri"/>
                <w:b w:val="0"/>
                <w:i w:val="0"/>
                <w:color w:val="211D1A"/>
                <w:sz w:val="19"/>
              </w:rPr>
              <w:t>Local authority</w:t>
            </w:r>
          </w:p>
        </w:tc>
      </w:tr>
      <w:tr>
        <w:tc>
          <w:tcPr>
            <w:tcW w:type="dxa" w:w="3312"/>
          </w:tcPr>
          <w:p>
            <w:r/>
            <w:r>
              <w:rPr>
                <w:rFonts w:ascii="Calibri" w:hAnsi="Calibri"/>
                <w:b/>
                <w:i w:val="0"/>
                <w:color w:val="211D1A"/>
                <w:sz w:val="19"/>
              </w:rPr>
              <w:t>Structural engineer</w:t>
            </w:r>
          </w:p>
        </w:tc>
        <w:tc>
          <w:tcPr>
            <w:tcW w:type="dxa" w:w="3312"/>
          </w:tcPr>
          <w:p>
            <w:r/>
            <w:r>
              <w:rPr>
                <w:rFonts w:ascii="Calibri" w:hAnsi="Calibri"/>
                <w:b w:val="0"/>
                <w:i w:val="0"/>
                <w:color w:val="211D1A"/>
                <w:sz w:val="19"/>
              </w:rPr>
              <w:t>£700 – £2,000</w:t>
            </w:r>
          </w:p>
        </w:tc>
        <w:tc>
          <w:tcPr>
            <w:tcW w:type="dxa" w:w="3312"/>
          </w:tcPr>
          <w:p>
            <w:r/>
            <w:r>
              <w:rPr>
                <w:rFonts w:ascii="Calibri" w:hAnsi="Calibri"/>
                <w:b w:val="0"/>
                <w:i w:val="0"/>
                <w:color w:val="211D1A"/>
                <w:sz w:val="19"/>
              </w:rPr>
              <w:t>Engineer, where structure changes</w:t>
            </w:r>
          </w:p>
        </w:tc>
      </w:tr>
      <w:tr>
        <w:tc>
          <w:tcPr>
            <w:tcW w:type="dxa" w:w="3312"/>
          </w:tcPr>
          <w:p>
            <w:r/>
            <w:r>
              <w:rPr>
                <w:rFonts w:ascii="Calibri" w:hAnsi="Calibri"/>
                <w:b/>
                <w:i w:val="0"/>
                <w:color w:val="211D1A"/>
                <w:sz w:val="19"/>
              </w:rPr>
              <w:t>Measured survey</w:t>
            </w:r>
          </w:p>
        </w:tc>
        <w:tc>
          <w:tcPr>
            <w:tcW w:type="dxa" w:w="3312"/>
          </w:tcPr>
          <w:p>
            <w:r/>
            <w:r>
              <w:rPr>
                <w:rFonts w:ascii="Calibri" w:hAnsi="Calibri"/>
                <w:b w:val="0"/>
                <w:i w:val="0"/>
                <w:color w:val="211D1A"/>
                <w:sz w:val="19"/>
              </w:rPr>
              <w:t>Up to £450, or £0 with a guided self-survey</w:t>
            </w:r>
          </w:p>
        </w:tc>
        <w:tc>
          <w:tcPr>
            <w:tcW w:type="dxa" w:w="3312"/>
          </w:tcPr>
          <w:p>
            <w:r/>
            <w:r>
              <w:rPr>
                <w:rFonts w:ascii="Calibri" w:hAnsi="Calibri"/>
                <w:b w:val="0"/>
                <w:i w:val="0"/>
                <w:color w:val="211D1A"/>
                <w:sz w:val="19"/>
              </w:rPr>
              <w:t>Surveyor</w:t>
            </w:r>
          </w:p>
        </w:tc>
      </w:tr>
    </w:tbl>
    <w:p/>
    <w:p>
      <w:r>
        <w:rPr>
          <w:rFonts w:ascii="Calibri" w:hAnsi="Calibri"/>
          <w:b/>
          <w:i w:val="0"/>
          <w:color w:val="211D1A"/>
          <w:sz w:val="26"/>
        </w:rPr>
        <w:t>4. How long it takes</w:t>
      </w:r>
    </w:p>
    <w:tbl>
      <w:tblPr>
        <w:tblStyle w:val="TableGrid"/>
        <w:tblW w:type="auto" w:w="0"/>
        <w:tblLook w:firstColumn="1" w:firstRow="1" w:lastColumn="0" w:lastRow="0" w:noHBand="0" w:noVBand="1" w:val="04A0"/>
      </w:tblPr>
      <w:tblGrid>
        <w:gridCol w:w="4968"/>
        <w:gridCol w:w="4968"/>
      </w:tblGrid>
      <w:tr>
        <w:tc>
          <w:tcPr>
            <w:tcW w:type="dxa" w:w="4968"/>
          </w:tcPr>
          <w:p>
            <w:r/>
            <w:r>
              <w:rPr>
                <w:rFonts w:ascii="Calibri" w:hAnsi="Calibri"/>
                <w:b/>
                <w:i w:val="0"/>
                <w:color w:val="211D1A"/>
                <w:sz w:val="19"/>
              </w:rPr>
              <w:t>Stage</w:t>
            </w:r>
          </w:p>
        </w:tc>
        <w:tc>
          <w:tcPr>
            <w:tcW w:type="dxa" w:w="4968"/>
          </w:tcPr>
          <w:p>
            <w:r/>
            <w:r>
              <w:rPr>
                <w:rFonts w:ascii="Calibri" w:hAnsi="Calibri"/>
                <w:b/>
                <w:i w:val="0"/>
                <w:color w:val="211D1A"/>
                <w:sz w:val="19"/>
              </w:rPr>
              <w:t>Typical time</w:t>
            </w:r>
          </w:p>
        </w:tc>
      </w:tr>
      <w:tr>
        <w:tc>
          <w:tcPr>
            <w:tcW w:type="dxa" w:w="4968"/>
          </w:tcPr>
          <w:p>
            <w:r/>
            <w:r>
              <w:rPr>
                <w:rFonts w:ascii="Calibri" w:hAnsi="Calibri"/>
                <w:b/>
                <w:i w:val="0"/>
                <w:color w:val="211D1A"/>
                <w:sz w:val="19"/>
              </w:rPr>
              <w:t>Free planning-route check</w:t>
            </w:r>
          </w:p>
        </w:tc>
        <w:tc>
          <w:tcPr>
            <w:tcW w:type="dxa" w:w="4968"/>
          </w:tcPr>
          <w:p>
            <w:r/>
            <w:r>
              <w:rPr>
                <w:rFonts w:ascii="Calibri" w:hAnsi="Calibri"/>
                <w:b w:val="0"/>
                <w:i w:val="0"/>
                <w:color w:val="211D1A"/>
                <w:sz w:val="19"/>
              </w:rPr>
              <w:t>Same working day</w:t>
            </w:r>
          </w:p>
        </w:tc>
      </w:tr>
      <w:tr>
        <w:tc>
          <w:tcPr>
            <w:tcW w:type="dxa" w:w="4968"/>
          </w:tcPr>
          <w:p>
            <w:r/>
            <w:r>
              <w:rPr>
                <w:rFonts w:ascii="Calibri" w:hAnsi="Calibri"/>
                <w:b/>
                <w:i w:val="0"/>
                <w:color w:val="211D1A"/>
                <w:sz w:val="19"/>
              </w:rPr>
              <w:t>First draft drawings</w:t>
            </w:r>
          </w:p>
        </w:tc>
        <w:tc>
          <w:tcPr>
            <w:tcW w:type="dxa" w:w="4968"/>
          </w:tcPr>
          <w:p>
            <w:r/>
            <w:r>
              <w:rPr>
                <w:rFonts w:ascii="Calibri" w:hAnsi="Calibri"/>
                <w:b w:val="0"/>
                <w:i w:val="0"/>
                <w:color w:val="211D1A"/>
                <w:sz w:val="19"/>
              </w:rPr>
              <w:t>10 working days</w:t>
            </w:r>
          </w:p>
        </w:tc>
      </w:tr>
      <w:tr>
        <w:tc>
          <w:tcPr>
            <w:tcW w:type="dxa" w:w="4968"/>
          </w:tcPr>
          <w:p>
            <w:r/>
            <w:r>
              <w:rPr>
                <w:rFonts w:ascii="Calibri" w:hAnsi="Calibri"/>
                <w:b/>
                <w:i w:val="0"/>
                <w:color w:val="211D1A"/>
                <w:sz w:val="19"/>
              </w:rPr>
              <w:t>Revisions until you are happy</w:t>
            </w:r>
          </w:p>
        </w:tc>
        <w:tc>
          <w:tcPr>
            <w:tcW w:type="dxa" w:w="4968"/>
          </w:tcPr>
          <w:p>
            <w:r/>
            <w:r>
              <w:rPr>
                <w:rFonts w:ascii="Calibri" w:hAnsi="Calibri"/>
                <w:b w:val="0"/>
                <w:i w:val="0"/>
                <w:color w:val="211D1A"/>
                <w:sz w:val="19"/>
              </w:rPr>
              <w:t>Unlimited, usually 1 to 2 rounds</w:t>
            </w:r>
          </w:p>
        </w:tc>
      </w:tr>
      <w:tr>
        <w:tc>
          <w:tcPr>
            <w:tcW w:type="dxa" w:w="4968"/>
          </w:tcPr>
          <w:p>
            <w:r/>
            <w:r>
              <w:rPr>
                <w:rFonts w:ascii="Calibri" w:hAnsi="Calibri"/>
                <w:b/>
                <w:i w:val="0"/>
                <w:color w:val="211D1A"/>
                <w:sz w:val="19"/>
              </w:rPr>
              <w:t>Council decision</w:t>
            </w:r>
          </w:p>
        </w:tc>
        <w:tc>
          <w:tcPr>
            <w:tcW w:type="dxa" w:w="4968"/>
          </w:tcPr>
          <w:p>
            <w:r/>
            <w:r>
              <w:rPr>
                <w:rFonts w:ascii="Calibri" w:hAnsi="Calibri"/>
                <w:b w:val="0"/>
                <w:i w:val="0"/>
                <w:color w:val="211D1A"/>
                <w:sz w:val="19"/>
              </w:rPr>
              <w:t>6 to 8 weeks from validation</w:t>
            </w:r>
          </w:p>
        </w:tc>
      </w:tr>
      <w:tr>
        <w:tc>
          <w:tcPr>
            <w:tcW w:type="dxa" w:w="4968"/>
          </w:tcPr>
          <w:p>
            <w:r/>
            <w:r>
              <w:rPr>
                <w:rFonts w:ascii="Calibri" w:hAnsi="Calibri"/>
                <w:b/>
                <w:i w:val="0"/>
                <w:color w:val="211D1A"/>
                <w:sz w:val="19"/>
              </w:rPr>
              <w:t>Building Regulations set</w:t>
            </w:r>
          </w:p>
        </w:tc>
        <w:tc>
          <w:tcPr>
            <w:tcW w:type="dxa" w:w="4968"/>
          </w:tcPr>
          <w:p>
            <w:r/>
            <w:r>
              <w:rPr>
                <w:rFonts w:ascii="Calibri" w:hAnsi="Calibri"/>
                <w:b w:val="0"/>
                <w:i w:val="0"/>
                <w:color w:val="211D1A"/>
                <w:sz w:val="19"/>
              </w:rPr>
              <w:t>1 to 2 weeks after approval</w:t>
            </w:r>
          </w:p>
        </w:tc>
      </w:tr>
    </w:tbl>
    <w:p/>
    <w:p>
      <w:r>
        <w:rPr>
          <w:rFonts w:ascii="Calibri" w:hAnsi="Calibri"/>
          <w:b/>
          <w:i w:val="0"/>
          <w:color w:val="211D1A"/>
          <w:sz w:val="26"/>
        </w:rPr>
        <w:t>5. Your checklist</w:t>
      </w:r>
    </w:p>
    <w:p>
      <w:r>
        <w:rPr>
          <w:rFonts w:ascii="Calibri" w:hAnsi="Calibri"/>
          <w:b w:val="0"/>
          <w:i w:val="0"/>
          <w:color w:val="211D1A"/>
          <w:sz w:val="21"/>
        </w:rPr>
        <w:t>☐  Confirm your route in writing before designing</w:t>
      </w:r>
    </w:p>
    <w:p>
      <w:r>
        <w:rPr>
          <w:rFonts w:ascii="Calibri" w:hAnsi="Calibri"/>
          <w:b w:val="0"/>
          <w:i w:val="0"/>
          <w:color w:val="211D1A"/>
          <w:sz w:val="21"/>
        </w:rPr>
        <w:t>☐  Check what earlier extensions have used up</w:t>
      </w:r>
    </w:p>
    <w:p>
      <w:r>
        <w:rPr>
          <w:rFonts w:ascii="Calibri" w:hAnsi="Calibri"/>
          <w:b w:val="0"/>
          <w:i w:val="0"/>
          <w:color w:val="211D1A"/>
          <w:sz w:val="21"/>
        </w:rPr>
        <w:t>☐  Measure boundary distances and ridge heights</w:t>
      </w:r>
    </w:p>
    <w:p>
      <w:r>
        <w:rPr>
          <w:rFonts w:ascii="Calibri" w:hAnsi="Calibri"/>
          <w:b w:val="0"/>
          <w:i w:val="0"/>
          <w:color w:val="211D1A"/>
          <w:sz w:val="21"/>
        </w:rPr>
        <w:t>☐  Budget for the council fee and a structural engineer</w:t>
      </w:r>
    </w:p>
    <w:p>
      <w:r>
        <w:rPr>
          <w:rFonts w:ascii="Calibri" w:hAnsi="Calibri"/>
          <w:b w:val="0"/>
          <w:i w:val="0"/>
          <w:color w:val="211D1A"/>
          <w:sz w:val="21"/>
        </w:rPr>
        <w:t>☐  Commission accurate existing drawings</w:t>
      </w:r>
    </w:p>
    <w:p>
      <w:r>
        <w:rPr>
          <w:rFonts w:ascii="Calibri" w:hAnsi="Calibri"/>
          <w:b w:val="0"/>
          <w:i w:val="0"/>
          <w:color w:val="211D1A"/>
          <w:sz w:val="21"/>
        </w:rPr>
        <w:t>☐  Consider the Party Wall Act if building near a shared wall</w:t>
      </w:r>
    </w:p>
    <w:p>
      <w:r>
        <w:rPr>
          <w:rFonts w:ascii="Calibri" w:hAnsi="Calibri"/>
          <w:b w:val="0"/>
          <w:i w:val="0"/>
          <w:color w:val="211D1A"/>
          <w:sz w:val="21"/>
        </w:rPr>
        <w:t>☐  Allow 6 to 8 weeks for a decision</w:t>
      </w:r>
    </w:p>
    <w:p/>
    <w:p>
      <w:r>
        <w:rPr>
          <w:rFonts w:ascii="Calibri" w:hAnsi="Calibri"/>
          <w:b/>
          <w:i w:val="0"/>
          <w:color w:val="211D1A"/>
          <w:sz w:val="26"/>
        </w:rPr>
        <w:t>6. Questions people ask</w:t>
      </w:r>
    </w:p>
    <w:p>
      <w:r>
        <w:rPr>
          <w:rFonts w:ascii="Calibri" w:hAnsi="Calibri"/>
          <w:b/>
          <w:i w:val="0"/>
          <w:color w:val="211D1A"/>
          <w:sz w:val="21"/>
        </w:rPr>
        <w:t>Will a rear extension need planning permission?</w:t>
      </w:r>
    </w:p>
    <w:p>
      <w:r>
        <w:rPr>
          <w:rFonts w:ascii="Calibri" w:hAnsi="Calibri"/>
          <w:b w:val="0"/>
          <w:i w:val="0"/>
          <w:color w:val="57504B"/>
          <w:sz w:val="21"/>
        </w:rPr>
        <w:t>Often not. Many single-storey rear extensions sit within permitted development, and larger ones can go through prior approval. The only reliable answer is a check against your specific property and its history.</w:t>
      </w:r>
    </w:p>
    <w:p>
      <w:r>
        <w:rPr>
          <w:rFonts w:ascii="Calibri" w:hAnsi="Calibri"/>
          <w:b/>
          <w:i w:val="0"/>
          <w:color w:val="211D1A"/>
          <w:sz w:val="21"/>
        </w:rPr>
        <w:t>What drawings will I actually receive?</w:t>
      </w:r>
    </w:p>
    <w:p>
      <w:r>
        <w:rPr>
          <w:rFonts w:ascii="Calibri" w:hAnsi="Calibri"/>
          <w:b w:val="0"/>
          <w:i w:val="0"/>
          <w:color w:val="57504B"/>
          <w:sz w:val="21"/>
        </w:rPr>
        <w:t>Existing and proposed floor plans, elevations and sections, a site location plan and a block plan, plus a Building Regulations set where the work is structural.</w:t>
      </w:r>
    </w:p>
    <w:p>
      <w:r>
        <w:rPr>
          <w:rFonts w:ascii="Calibri" w:hAnsi="Calibri"/>
          <w:b/>
          <w:i w:val="0"/>
          <w:color w:val="211D1A"/>
          <w:sz w:val="21"/>
        </w:rPr>
        <w:t>What happens if the council refuses it?</w:t>
      </w:r>
    </w:p>
    <w:p>
      <w:r>
        <w:rPr>
          <w:rFonts w:ascii="Calibri" w:hAnsi="Calibri"/>
          <w:b w:val="0"/>
          <w:i w:val="0"/>
          <w:color w:val="57504B"/>
          <w:sz w:val="21"/>
        </w:rPr>
        <w:t>We handle the changes and the resubmission. If any application we submit is refused, you get a 100% refund within 5 days.</w:t>
      </w:r>
    </w:p>
    <w:p/>
    <w:p>
      <w:r>
        <w:rPr>
          <w:rFonts w:ascii="Calibri" w:hAnsi="Calibri"/>
          <w:b/>
          <w:i w:val="0"/>
          <w:color w:val="C2402A"/>
          <w:sz w:val="24"/>
        </w:rPr>
        <w:t>Get your free planning-route check</w:t>
      </w:r>
    </w:p>
    <w:p>
      <w:r>
        <w:rPr>
          <w:rFonts w:ascii="Calibri" w:hAnsi="Calibri"/>
          <w:b w:val="0"/>
          <w:i w:val="0"/>
          <w:color w:val="211D1A"/>
          <w:sz w:val="20"/>
        </w:rPr>
        <w:t>Send your postcode and what you are planning. You get the route in writing, the drawings you need, and one fixed price, usually the same working day. If any application we submit is refused, you get a 100% refund within 5 days.</w:t>
      </w:r>
    </w:p>
    <w:p>
      <w:r>
        <w:rPr>
          <w:rFonts w:ascii="Calibri" w:hAnsi="Calibri"/>
          <w:b/>
          <w:i w:val="0"/>
          <w:color w:val="211D1A"/>
          <w:sz w:val="20"/>
        </w:rPr>
        <w:t>exparc.co.uk/get-a-quote  ·  info@exparc.co.uk  ·  +44 118 207 2681</w:t>
      </w:r>
    </w:p>
    <w:p>
      <w:r>
        <w:rPr>
          <w:rFonts w:ascii="Calibri" w:hAnsi="Calibri"/>
          <w:b w:val="0"/>
          <w:i w:val="0"/>
          <w:color w:val="57504B"/>
          <w:sz w:val="16"/>
        </w:rPr>
        <w:t>General information for UK projects, not planning advice for a specific property. Exp-Arc Limited, company no. 16980239.</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