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b/>
          <w:i w:val="0"/>
          <w:color w:val="C2402A"/>
          <w:sz w:val="17"/>
        </w:rPr>
        <w:t>EXP | ARC  ·  FREE GUIDE</w:t>
      </w:r>
    </w:p>
    <w:p>
      <w:r>
        <w:rPr>
          <w:rFonts w:ascii="Calibri" w:hAnsi="Calibri"/>
          <w:b/>
          <w:i w:val="0"/>
          <w:color w:val="211D1A"/>
          <w:sz w:val="40"/>
        </w:rPr>
        <w:t>The Loft, Garage &amp; Basement Guide</w:t>
      </w:r>
    </w:p>
    <w:p>
      <w:r>
        <w:rPr>
          <w:rFonts w:ascii="Calibri" w:hAnsi="Calibri"/>
          <w:b w:val="0"/>
          <w:i w:val="0"/>
          <w:color w:val="57504B"/>
          <w:sz w:val="22"/>
        </w:rPr>
        <w:t>Head heights, the staircase trap, and the approvals that make a conversion work.</w:t>
      </w:r>
    </w:p>
    <w:p>
      <w:r>
        <w:rPr>
          <w:rFonts w:ascii="Calibri" w:hAnsi="Calibri"/>
          <w:b w:val="0"/>
          <w:i/>
          <w:color w:val="57504B"/>
          <w:sz w:val="18"/>
        </w:rPr>
        <w:t>This is the editable Word version. The PDF and all our other guides are at exparc.co.uk/free-guides</w:t>
      </w:r>
    </w:p>
    <w:p/>
    <w:p>
      <w:r>
        <w:rPr>
          <w:rFonts w:ascii="Calibri" w:hAnsi="Calibri"/>
          <w:b/>
          <w:i w:val="0"/>
          <w:color w:val="211D1A"/>
          <w:sz w:val="26"/>
        </w:rPr>
        <w:t>1. Your approval routes</w:t>
      </w:r>
    </w:p>
    <w:tbl>
      <w:tblPr>
        <w:tblStyle w:val="TableGrid"/>
        <w:tblW w:type="auto" w:w="0"/>
        <w:tblLook w:firstColumn="1" w:firstRow="1" w:lastColumn="0" w:lastRow="0" w:noHBand="0" w:noVBand="1" w:val="04A0"/>
      </w:tblPr>
      <w:tblGrid>
        <w:gridCol w:w="3312"/>
        <w:gridCol w:w="3312"/>
        <w:gridCol w:w="3312"/>
      </w:tblGrid>
      <w:tr>
        <w:tc>
          <w:tcPr>
            <w:tcW w:type="dxa" w:w="3312"/>
          </w:tcPr>
          <w:p>
            <w:r/>
            <w:r>
              <w:rPr>
                <w:rFonts w:ascii="Calibri" w:hAnsi="Calibri"/>
                <w:b/>
                <w:i w:val="0"/>
                <w:color w:val="211D1A"/>
                <w:sz w:val="19"/>
              </w:rPr>
              <w:t>Route</w:t>
            </w:r>
          </w:p>
        </w:tc>
        <w:tc>
          <w:tcPr>
            <w:tcW w:type="dxa" w:w="3312"/>
          </w:tcPr>
          <w:p>
            <w:r/>
            <w:r>
              <w:rPr>
                <w:rFonts w:ascii="Calibri" w:hAnsi="Calibri"/>
                <w:b/>
                <w:i w:val="0"/>
                <w:color w:val="211D1A"/>
                <w:sz w:val="19"/>
              </w:rPr>
              <w:t>When it applies</w:t>
            </w:r>
          </w:p>
        </w:tc>
        <w:tc>
          <w:tcPr>
            <w:tcW w:type="dxa" w:w="3312"/>
          </w:tcPr>
          <w:p>
            <w:r/>
            <w:r>
              <w:rPr>
                <w:rFonts w:ascii="Calibri" w:hAnsi="Calibri"/>
                <w:b/>
                <w:i w:val="0"/>
                <w:color w:val="211D1A"/>
                <w:sz w:val="19"/>
              </w:rPr>
              <w:t>What you submit</w:t>
            </w:r>
          </w:p>
        </w:tc>
      </w:tr>
      <w:tr>
        <w:tc>
          <w:tcPr>
            <w:tcW w:type="dxa" w:w="3312"/>
          </w:tcPr>
          <w:p>
            <w:r/>
            <w:r>
              <w:rPr>
                <w:rFonts w:ascii="Calibri" w:hAnsi="Calibri"/>
                <w:b/>
                <w:i w:val="0"/>
                <w:color w:val="211D1A"/>
                <w:sz w:val="19"/>
              </w:rPr>
              <w:t>Permitted Development</w:t>
            </w:r>
          </w:p>
        </w:tc>
        <w:tc>
          <w:tcPr>
            <w:tcW w:type="dxa" w:w="3312"/>
          </w:tcPr>
          <w:p>
            <w:r/>
            <w:r>
              <w:rPr>
                <w:rFonts w:ascii="Calibri" w:hAnsi="Calibri"/>
                <w:b w:val="0"/>
                <w:i w:val="0"/>
                <w:color w:val="211D1A"/>
                <w:sz w:val="19"/>
              </w:rPr>
              <w:t>Lofts within volume limits that keep the roof shape</w:t>
            </w:r>
          </w:p>
        </w:tc>
        <w:tc>
          <w:tcPr>
            <w:tcW w:type="dxa" w:w="3312"/>
          </w:tcPr>
          <w:p>
            <w:r/>
            <w:r>
              <w:rPr>
                <w:rFonts w:ascii="Calibri" w:hAnsi="Calibri"/>
                <w:b w:val="0"/>
                <w:i w:val="0"/>
                <w:color w:val="211D1A"/>
                <w:sz w:val="19"/>
              </w:rPr>
              <w:t>Lawful development certificate advised</w:t>
            </w:r>
          </w:p>
        </w:tc>
      </w:tr>
      <w:tr>
        <w:tc>
          <w:tcPr>
            <w:tcW w:type="dxa" w:w="3312"/>
          </w:tcPr>
          <w:p>
            <w:r/>
            <w:r>
              <w:rPr>
                <w:rFonts w:ascii="Calibri" w:hAnsi="Calibri"/>
                <w:b/>
                <w:i w:val="0"/>
                <w:color w:val="211D1A"/>
                <w:sz w:val="19"/>
              </w:rPr>
              <w:t>Full Planning</w:t>
            </w:r>
          </w:p>
        </w:tc>
        <w:tc>
          <w:tcPr>
            <w:tcW w:type="dxa" w:w="3312"/>
          </w:tcPr>
          <w:p>
            <w:r/>
            <w:r>
              <w:rPr>
                <w:rFonts w:ascii="Calibri" w:hAnsi="Calibri"/>
                <w:b w:val="0"/>
                <w:i w:val="0"/>
                <w:color w:val="211D1A"/>
                <w:sz w:val="19"/>
              </w:rPr>
              <w:t>Dormers on the front, terraced homes, conservation areas</w:t>
            </w:r>
          </w:p>
        </w:tc>
        <w:tc>
          <w:tcPr>
            <w:tcW w:type="dxa" w:w="3312"/>
          </w:tcPr>
          <w:p>
            <w:r/>
            <w:r>
              <w:rPr>
                <w:rFonts w:ascii="Calibri" w:hAnsi="Calibri"/>
                <w:b w:val="0"/>
                <w:i w:val="0"/>
                <w:color w:val="211D1A"/>
                <w:sz w:val="19"/>
              </w:rPr>
              <w:t>Full application with drawings</w:t>
            </w:r>
          </w:p>
        </w:tc>
      </w:tr>
      <w:tr>
        <w:tc>
          <w:tcPr>
            <w:tcW w:type="dxa" w:w="3312"/>
          </w:tcPr>
          <w:p>
            <w:r/>
            <w:r>
              <w:rPr>
                <w:rFonts w:ascii="Calibri" w:hAnsi="Calibri"/>
                <w:b/>
                <w:i w:val="0"/>
                <w:color w:val="211D1A"/>
                <w:sz w:val="19"/>
              </w:rPr>
              <w:t>Building Regulations</w:t>
            </w:r>
          </w:p>
        </w:tc>
        <w:tc>
          <w:tcPr>
            <w:tcW w:type="dxa" w:w="3312"/>
          </w:tcPr>
          <w:p>
            <w:r/>
            <w:r>
              <w:rPr>
                <w:rFonts w:ascii="Calibri" w:hAnsi="Calibri"/>
                <w:b w:val="0"/>
                <w:i w:val="0"/>
                <w:color w:val="211D1A"/>
                <w:sz w:val="19"/>
              </w:rPr>
              <w:t>Every conversion, without exception</w:t>
            </w:r>
          </w:p>
        </w:tc>
        <w:tc>
          <w:tcPr>
            <w:tcW w:type="dxa" w:w="3312"/>
          </w:tcPr>
          <w:p>
            <w:r/>
            <w:r>
              <w:rPr>
                <w:rFonts w:ascii="Calibri" w:hAnsi="Calibri"/>
                <w:b w:val="0"/>
                <w:i w:val="0"/>
                <w:color w:val="211D1A"/>
                <w:sz w:val="19"/>
              </w:rPr>
              <w:t>Technical drawings and building control notice</w:t>
            </w:r>
          </w:p>
        </w:tc>
      </w:tr>
    </w:tbl>
    <w:p/>
    <w:p>
      <w:r>
        <w:rPr>
          <w:rFonts w:ascii="Calibri" w:hAnsi="Calibri"/>
          <w:b/>
          <w:i w:val="0"/>
          <w:color w:val="211D1A"/>
          <w:sz w:val="26"/>
        </w:rPr>
        <w:t>2. What trips people up</w:t>
      </w:r>
    </w:p>
    <w:p>
      <w:pPr>
        <w:pStyle w:val="ListBullet"/>
      </w:pPr>
      <w:r>
        <w:rPr>
          <w:rFonts w:ascii="Calibri" w:hAnsi="Calibri"/>
          <w:b w:val="0"/>
          <w:i w:val="0"/>
          <w:color w:val="211D1A"/>
          <w:sz w:val="20"/>
        </w:rPr>
        <w:t>2.2m at the ridge is the practical benchmark, and floor build-up plus insulation can take 0.3m of that before you start.</w:t>
      </w:r>
    </w:p>
    <w:p>
      <w:pPr>
        <w:pStyle w:val="ListBullet"/>
      </w:pPr>
      <w:r>
        <w:rPr>
          <w:rFonts w:ascii="Calibri" w:hAnsi="Calibri"/>
          <w:b w:val="0"/>
          <w:i w:val="0"/>
          <w:color w:val="211D1A"/>
          <w:sz w:val="20"/>
        </w:rPr>
        <w:t>Stairs are the hidden £5,000 to £10,000 problem: 2.0m headroom, 1.9m and 1.8m on sloped runs, and a 42° maximum pitch.</w:t>
      </w:r>
    </w:p>
    <w:p>
      <w:pPr>
        <w:pStyle w:val="ListBullet"/>
      </w:pPr>
      <w:r>
        <w:rPr>
          <w:rFonts w:ascii="Calibri" w:hAnsi="Calibri"/>
          <w:b w:val="0"/>
          <w:i w:val="0"/>
          <w:color w:val="211D1A"/>
          <w:sz w:val="20"/>
        </w:rPr>
        <w:t>Trussed roofs need structural work to open up, which changes both cost and drawings.</w:t>
      </w:r>
    </w:p>
    <w:p>
      <w:pPr>
        <w:pStyle w:val="ListBullet"/>
      </w:pPr>
      <w:r>
        <w:rPr>
          <w:rFonts w:ascii="Calibri" w:hAnsi="Calibri"/>
          <w:b w:val="0"/>
          <w:i w:val="0"/>
          <w:color w:val="211D1A"/>
          <w:sz w:val="20"/>
        </w:rPr>
        <w:t>A garage conversion still needs damp, insulation and ventilation to comply, even when no planning is required.</w:t>
      </w:r>
    </w:p>
    <w:p/>
    <w:p>
      <w:r>
        <w:rPr>
          <w:rFonts w:ascii="Calibri" w:hAnsi="Calibri"/>
          <w:b/>
          <w:i w:val="0"/>
          <w:color w:val="211D1A"/>
          <w:sz w:val="26"/>
        </w:rPr>
        <w:t>3. What it costs</w:t>
      </w:r>
    </w:p>
    <w:p>
      <w:r>
        <w:rPr>
          <w:rFonts w:ascii="Calibri" w:hAnsi="Calibri"/>
          <w:b w:val="0"/>
          <w:i w:val="0"/>
          <w:color w:val="57504B"/>
          <w:sz w:val="20"/>
        </w:rPr>
        <w:t>Typical UK market ranges, so you can sanity-check any quote you receive.</w:t>
      </w:r>
    </w:p>
    <w:tbl>
      <w:tblPr>
        <w:tblStyle w:val="TableGrid"/>
        <w:tblW w:type="auto" w:w="0"/>
        <w:tblLook w:firstColumn="1" w:firstRow="1" w:lastColumn="0" w:lastRow="0" w:noHBand="0" w:noVBand="1" w:val="04A0"/>
      </w:tblPr>
      <w:tblGrid>
        <w:gridCol w:w="3312"/>
        <w:gridCol w:w="3312"/>
        <w:gridCol w:w="3312"/>
      </w:tblGrid>
      <w:tr>
        <w:tc>
          <w:tcPr>
            <w:tcW w:type="dxa" w:w="3312"/>
          </w:tcPr>
          <w:p>
            <w:r/>
            <w:r>
              <w:rPr>
                <w:rFonts w:ascii="Calibri" w:hAnsi="Calibri"/>
                <w:b/>
                <w:i w:val="0"/>
                <w:color w:val="211D1A"/>
                <w:sz w:val="19"/>
              </w:rPr>
              <w:t>What</w:t>
            </w:r>
          </w:p>
        </w:tc>
        <w:tc>
          <w:tcPr>
            <w:tcW w:type="dxa" w:w="3312"/>
          </w:tcPr>
          <w:p>
            <w:r/>
            <w:r>
              <w:rPr>
                <w:rFonts w:ascii="Calibri" w:hAnsi="Calibri"/>
                <w:b/>
                <w:i w:val="0"/>
                <w:color w:val="211D1A"/>
                <w:sz w:val="19"/>
              </w:rPr>
              <w:t>Typical UK range</w:t>
            </w:r>
          </w:p>
        </w:tc>
        <w:tc>
          <w:tcPr>
            <w:tcW w:type="dxa" w:w="3312"/>
          </w:tcPr>
          <w:p>
            <w:r/>
            <w:r>
              <w:rPr>
                <w:rFonts w:ascii="Calibri" w:hAnsi="Calibri"/>
                <w:b/>
                <w:i w:val="0"/>
                <w:color w:val="211D1A"/>
                <w:sz w:val="19"/>
              </w:rPr>
              <w:t>Who it is paid to</w:t>
            </w:r>
          </w:p>
        </w:tc>
      </w:tr>
      <w:tr>
        <w:tc>
          <w:tcPr>
            <w:tcW w:type="dxa" w:w="3312"/>
          </w:tcPr>
          <w:p>
            <w:r/>
            <w:r>
              <w:rPr>
                <w:rFonts w:ascii="Calibri" w:hAnsi="Calibri"/>
                <w:b/>
                <w:i w:val="0"/>
                <w:color w:val="211D1A"/>
                <w:sz w:val="19"/>
              </w:rPr>
              <w:t>Planning drawings</w:t>
            </w:r>
          </w:p>
        </w:tc>
        <w:tc>
          <w:tcPr>
            <w:tcW w:type="dxa" w:w="3312"/>
          </w:tcPr>
          <w:p>
            <w:r/>
            <w:r>
              <w:rPr>
                <w:rFonts w:ascii="Calibri" w:hAnsi="Calibri"/>
                <w:b w:val="0"/>
                <w:i w:val="0"/>
                <w:color w:val="211D1A"/>
                <w:sz w:val="19"/>
              </w:rPr>
              <w:t>£1,200 – £2,500</w:t>
            </w:r>
          </w:p>
        </w:tc>
        <w:tc>
          <w:tcPr>
            <w:tcW w:type="dxa" w:w="3312"/>
          </w:tcPr>
          <w:p>
            <w:r/>
            <w:r>
              <w:rPr>
                <w:rFonts w:ascii="Calibri" w:hAnsi="Calibri"/>
                <w:b w:val="0"/>
                <w:i w:val="0"/>
                <w:color w:val="211D1A"/>
                <w:sz w:val="19"/>
              </w:rPr>
              <w:t>Your drawing practice</w:t>
            </w:r>
          </w:p>
        </w:tc>
      </w:tr>
      <w:tr>
        <w:tc>
          <w:tcPr>
            <w:tcW w:type="dxa" w:w="3312"/>
          </w:tcPr>
          <w:p>
            <w:r/>
            <w:r>
              <w:rPr>
                <w:rFonts w:ascii="Calibri" w:hAnsi="Calibri"/>
                <w:b/>
                <w:i w:val="0"/>
                <w:color w:val="211D1A"/>
                <w:sz w:val="19"/>
              </w:rPr>
              <w:t>Full set incl. Building Regs</w:t>
            </w:r>
          </w:p>
        </w:tc>
        <w:tc>
          <w:tcPr>
            <w:tcW w:type="dxa" w:w="3312"/>
          </w:tcPr>
          <w:p>
            <w:r/>
            <w:r>
              <w:rPr>
                <w:rFonts w:ascii="Calibri" w:hAnsi="Calibri"/>
                <w:b w:val="0"/>
                <w:i w:val="0"/>
                <w:color w:val="211D1A"/>
                <w:sz w:val="19"/>
              </w:rPr>
              <w:t>£2,500 – £5,000</w:t>
            </w:r>
          </w:p>
        </w:tc>
        <w:tc>
          <w:tcPr>
            <w:tcW w:type="dxa" w:w="3312"/>
          </w:tcPr>
          <w:p>
            <w:r/>
            <w:r>
              <w:rPr>
                <w:rFonts w:ascii="Calibri" w:hAnsi="Calibri"/>
                <w:b w:val="0"/>
                <w:i w:val="0"/>
                <w:color w:val="211D1A"/>
                <w:sz w:val="19"/>
              </w:rPr>
              <w:t>Your drawing practice</w:t>
            </w:r>
          </w:p>
        </w:tc>
      </w:tr>
      <w:tr>
        <w:tc>
          <w:tcPr>
            <w:tcW w:type="dxa" w:w="3312"/>
          </w:tcPr>
          <w:p>
            <w:r/>
            <w:r>
              <w:rPr>
                <w:rFonts w:ascii="Calibri" w:hAnsi="Calibri"/>
                <w:b/>
                <w:i w:val="0"/>
                <w:color w:val="211D1A"/>
                <w:sz w:val="19"/>
              </w:rPr>
              <w:t>Council application fee</w:t>
            </w:r>
          </w:p>
        </w:tc>
        <w:tc>
          <w:tcPr>
            <w:tcW w:type="dxa" w:w="3312"/>
          </w:tcPr>
          <w:p>
            <w:r/>
            <w:r>
              <w:rPr>
                <w:rFonts w:ascii="Calibri" w:hAnsi="Calibri"/>
                <w:b w:val="0"/>
                <w:i w:val="0"/>
                <w:color w:val="211D1A"/>
                <w:sz w:val="19"/>
              </w:rPr>
              <w:t>£548 (householder, England, from April 2026)</w:t>
            </w:r>
          </w:p>
        </w:tc>
        <w:tc>
          <w:tcPr>
            <w:tcW w:type="dxa" w:w="3312"/>
          </w:tcPr>
          <w:p>
            <w:r/>
            <w:r>
              <w:rPr>
                <w:rFonts w:ascii="Calibri" w:hAnsi="Calibri"/>
                <w:b w:val="0"/>
                <w:i w:val="0"/>
                <w:color w:val="211D1A"/>
                <w:sz w:val="19"/>
              </w:rPr>
              <w:t>Local authority</w:t>
            </w:r>
          </w:p>
        </w:tc>
      </w:tr>
      <w:tr>
        <w:tc>
          <w:tcPr>
            <w:tcW w:type="dxa" w:w="3312"/>
          </w:tcPr>
          <w:p>
            <w:r/>
            <w:r>
              <w:rPr>
                <w:rFonts w:ascii="Calibri" w:hAnsi="Calibri"/>
                <w:b/>
                <w:i w:val="0"/>
                <w:color w:val="211D1A"/>
                <w:sz w:val="19"/>
              </w:rPr>
              <w:t>Structural engineer</w:t>
            </w:r>
          </w:p>
        </w:tc>
        <w:tc>
          <w:tcPr>
            <w:tcW w:type="dxa" w:w="3312"/>
          </w:tcPr>
          <w:p>
            <w:r/>
            <w:r>
              <w:rPr>
                <w:rFonts w:ascii="Calibri" w:hAnsi="Calibri"/>
                <w:b w:val="0"/>
                <w:i w:val="0"/>
                <w:color w:val="211D1A"/>
                <w:sz w:val="19"/>
              </w:rPr>
              <w:t>£700 – £2,000</w:t>
            </w:r>
          </w:p>
        </w:tc>
        <w:tc>
          <w:tcPr>
            <w:tcW w:type="dxa" w:w="3312"/>
          </w:tcPr>
          <w:p>
            <w:r/>
            <w:r>
              <w:rPr>
                <w:rFonts w:ascii="Calibri" w:hAnsi="Calibri"/>
                <w:b w:val="0"/>
                <w:i w:val="0"/>
                <w:color w:val="211D1A"/>
                <w:sz w:val="19"/>
              </w:rPr>
              <w:t>Engineer, where structure changes</w:t>
            </w:r>
          </w:p>
        </w:tc>
      </w:tr>
      <w:tr>
        <w:tc>
          <w:tcPr>
            <w:tcW w:type="dxa" w:w="3312"/>
          </w:tcPr>
          <w:p>
            <w:r/>
            <w:r>
              <w:rPr>
                <w:rFonts w:ascii="Calibri" w:hAnsi="Calibri"/>
                <w:b/>
                <w:i w:val="0"/>
                <w:color w:val="211D1A"/>
                <w:sz w:val="19"/>
              </w:rPr>
              <w:t>Measured survey</w:t>
            </w:r>
          </w:p>
        </w:tc>
        <w:tc>
          <w:tcPr>
            <w:tcW w:type="dxa" w:w="3312"/>
          </w:tcPr>
          <w:p>
            <w:r/>
            <w:r>
              <w:rPr>
                <w:rFonts w:ascii="Calibri" w:hAnsi="Calibri"/>
                <w:b w:val="0"/>
                <w:i w:val="0"/>
                <w:color w:val="211D1A"/>
                <w:sz w:val="19"/>
              </w:rPr>
              <w:t>Up to £450, or £0 with a guided self-survey</w:t>
            </w:r>
          </w:p>
        </w:tc>
        <w:tc>
          <w:tcPr>
            <w:tcW w:type="dxa" w:w="3312"/>
          </w:tcPr>
          <w:p>
            <w:r/>
            <w:r>
              <w:rPr>
                <w:rFonts w:ascii="Calibri" w:hAnsi="Calibri"/>
                <w:b w:val="0"/>
                <w:i w:val="0"/>
                <w:color w:val="211D1A"/>
                <w:sz w:val="19"/>
              </w:rPr>
              <w:t>Surveyor</w:t>
            </w:r>
          </w:p>
        </w:tc>
      </w:tr>
    </w:tbl>
    <w:p/>
    <w:p>
      <w:r>
        <w:rPr>
          <w:rFonts w:ascii="Calibri" w:hAnsi="Calibri"/>
          <w:b/>
          <w:i w:val="0"/>
          <w:color w:val="211D1A"/>
          <w:sz w:val="26"/>
        </w:rPr>
        <w:t>4. How long it takes</w:t>
      </w:r>
    </w:p>
    <w:tbl>
      <w:tblPr>
        <w:tblStyle w:val="TableGrid"/>
        <w:tblW w:type="auto" w:w="0"/>
        <w:tblLook w:firstColumn="1" w:firstRow="1" w:lastColumn="0" w:lastRow="0" w:noHBand="0" w:noVBand="1" w:val="04A0"/>
      </w:tblPr>
      <w:tblGrid>
        <w:gridCol w:w="4968"/>
        <w:gridCol w:w="4968"/>
      </w:tblGrid>
      <w:tr>
        <w:tc>
          <w:tcPr>
            <w:tcW w:type="dxa" w:w="4968"/>
          </w:tcPr>
          <w:p>
            <w:r/>
            <w:r>
              <w:rPr>
                <w:rFonts w:ascii="Calibri" w:hAnsi="Calibri"/>
                <w:b/>
                <w:i w:val="0"/>
                <w:color w:val="211D1A"/>
                <w:sz w:val="19"/>
              </w:rPr>
              <w:t>Stage</w:t>
            </w:r>
          </w:p>
        </w:tc>
        <w:tc>
          <w:tcPr>
            <w:tcW w:type="dxa" w:w="4968"/>
          </w:tcPr>
          <w:p>
            <w:r/>
            <w:r>
              <w:rPr>
                <w:rFonts w:ascii="Calibri" w:hAnsi="Calibri"/>
                <w:b/>
                <w:i w:val="0"/>
                <w:color w:val="211D1A"/>
                <w:sz w:val="19"/>
              </w:rPr>
              <w:t>Typical time</w:t>
            </w:r>
          </w:p>
        </w:tc>
      </w:tr>
      <w:tr>
        <w:tc>
          <w:tcPr>
            <w:tcW w:type="dxa" w:w="4968"/>
          </w:tcPr>
          <w:p>
            <w:r/>
            <w:r>
              <w:rPr>
                <w:rFonts w:ascii="Calibri" w:hAnsi="Calibri"/>
                <w:b/>
                <w:i w:val="0"/>
                <w:color w:val="211D1A"/>
                <w:sz w:val="19"/>
              </w:rPr>
              <w:t>Free planning-route check</w:t>
            </w:r>
          </w:p>
        </w:tc>
        <w:tc>
          <w:tcPr>
            <w:tcW w:type="dxa" w:w="4968"/>
          </w:tcPr>
          <w:p>
            <w:r/>
            <w:r>
              <w:rPr>
                <w:rFonts w:ascii="Calibri" w:hAnsi="Calibri"/>
                <w:b w:val="0"/>
                <w:i w:val="0"/>
                <w:color w:val="211D1A"/>
                <w:sz w:val="19"/>
              </w:rPr>
              <w:t>Same working day</w:t>
            </w:r>
          </w:p>
        </w:tc>
      </w:tr>
      <w:tr>
        <w:tc>
          <w:tcPr>
            <w:tcW w:type="dxa" w:w="4968"/>
          </w:tcPr>
          <w:p>
            <w:r/>
            <w:r>
              <w:rPr>
                <w:rFonts w:ascii="Calibri" w:hAnsi="Calibri"/>
                <w:b/>
                <w:i w:val="0"/>
                <w:color w:val="211D1A"/>
                <w:sz w:val="19"/>
              </w:rPr>
              <w:t>First draft drawings</w:t>
            </w:r>
          </w:p>
        </w:tc>
        <w:tc>
          <w:tcPr>
            <w:tcW w:type="dxa" w:w="4968"/>
          </w:tcPr>
          <w:p>
            <w:r/>
            <w:r>
              <w:rPr>
                <w:rFonts w:ascii="Calibri" w:hAnsi="Calibri"/>
                <w:b w:val="0"/>
                <w:i w:val="0"/>
                <w:color w:val="211D1A"/>
                <w:sz w:val="19"/>
              </w:rPr>
              <w:t>10 working days</w:t>
            </w:r>
          </w:p>
        </w:tc>
      </w:tr>
      <w:tr>
        <w:tc>
          <w:tcPr>
            <w:tcW w:type="dxa" w:w="4968"/>
          </w:tcPr>
          <w:p>
            <w:r/>
            <w:r>
              <w:rPr>
                <w:rFonts w:ascii="Calibri" w:hAnsi="Calibri"/>
                <w:b/>
                <w:i w:val="0"/>
                <w:color w:val="211D1A"/>
                <w:sz w:val="19"/>
              </w:rPr>
              <w:t>Revisions until you are happy</w:t>
            </w:r>
          </w:p>
        </w:tc>
        <w:tc>
          <w:tcPr>
            <w:tcW w:type="dxa" w:w="4968"/>
          </w:tcPr>
          <w:p>
            <w:r/>
            <w:r>
              <w:rPr>
                <w:rFonts w:ascii="Calibri" w:hAnsi="Calibri"/>
                <w:b w:val="0"/>
                <w:i w:val="0"/>
                <w:color w:val="211D1A"/>
                <w:sz w:val="19"/>
              </w:rPr>
              <w:t>Unlimited, usually 1 to 2 rounds</w:t>
            </w:r>
          </w:p>
        </w:tc>
      </w:tr>
      <w:tr>
        <w:tc>
          <w:tcPr>
            <w:tcW w:type="dxa" w:w="4968"/>
          </w:tcPr>
          <w:p>
            <w:r/>
            <w:r>
              <w:rPr>
                <w:rFonts w:ascii="Calibri" w:hAnsi="Calibri"/>
                <w:b/>
                <w:i w:val="0"/>
                <w:color w:val="211D1A"/>
                <w:sz w:val="19"/>
              </w:rPr>
              <w:t>Council decision</w:t>
            </w:r>
          </w:p>
        </w:tc>
        <w:tc>
          <w:tcPr>
            <w:tcW w:type="dxa" w:w="4968"/>
          </w:tcPr>
          <w:p>
            <w:r/>
            <w:r>
              <w:rPr>
                <w:rFonts w:ascii="Calibri" w:hAnsi="Calibri"/>
                <w:b w:val="0"/>
                <w:i w:val="0"/>
                <w:color w:val="211D1A"/>
                <w:sz w:val="19"/>
              </w:rPr>
              <w:t>6 to 8 weeks from validation</w:t>
            </w:r>
          </w:p>
        </w:tc>
      </w:tr>
      <w:tr>
        <w:tc>
          <w:tcPr>
            <w:tcW w:type="dxa" w:w="4968"/>
          </w:tcPr>
          <w:p>
            <w:r/>
            <w:r>
              <w:rPr>
                <w:rFonts w:ascii="Calibri" w:hAnsi="Calibri"/>
                <w:b/>
                <w:i w:val="0"/>
                <w:color w:val="211D1A"/>
                <w:sz w:val="19"/>
              </w:rPr>
              <w:t>Building Regulations set</w:t>
            </w:r>
          </w:p>
        </w:tc>
        <w:tc>
          <w:tcPr>
            <w:tcW w:type="dxa" w:w="4968"/>
          </w:tcPr>
          <w:p>
            <w:r/>
            <w:r>
              <w:rPr>
                <w:rFonts w:ascii="Calibri" w:hAnsi="Calibri"/>
                <w:b w:val="0"/>
                <w:i w:val="0"/>
                <w:color w:val="211D1A"/>
                <w:sz w:val="19"/>
              </w:rPr>
              <w:t>1 to 2 weeks after approval</w:t>
            </w:r>
          </w:p>
        </w:tc>
      </w:tr>
    </w:tbl>
    <w:p/>
    <w:p>
      <w:r>
        <w:rPr>
          <w:rFonts w:ascii="Calibri" w:hAnsi="Calibri"/>
          <w:b/>
          <w:i w:val="0"/>
          <w:color w:val="211D1A"/>
          <w:sz w:val="26"/>
        </w:rPr>
        <w:t>5. Your checklist</w:t>
      </w:r>
    </w:p>
    <w:p>
      <w:r>
        <w:rPr>
          <w:rFonts w:ascii="Calibri" w:hAnsi="Calibri"/>
          <w:b w:val="0"/>
          <w:i w:val="0"/>
          <w:color w:val="211D1A"/>
          <w:sz w:val="21"/>
        </w:rPr>
        <w:t>☐  Measure ridge height in several places</w:t>
      </w:r>
    </w:p>
    <w:p>
      <w:r>
        <w:rPr>
          <w:rFonts w:ascii="Calibri" w:hAnsi="Calibri"/>
          <w:b w:val="0"/>
          <w:i w:val="0"/>
          <w:color w:val="211D1A"/>
          <w:sz w:val="21"/>
        </w:rPr>
        <w:t>☐  Plan the staircase before the layout</w:t>
      </w:r>
    </w:p>
    <w:p>
      <w:r>
        <w:rPr>
          <w:rFonts w:ascii="Calibri" w:hAnsi="Calibri"/>
          <w:b w:val="0"/>
          <w:i w:val="0"/>
          <w:color w:val="211D1A"/>
          <w:sz w:val="21"/>
        </w:rPr>
        <w:t>☐  Check permitted development limits for your house type</w:t>
      </w:r>
    </w:p>
    <w:p>
      <w:r>
        <w:rPr>
          <w:rFonts w:ascii="Calibri" w:hAnsi="Calibri"/>
          <w:b w:val="0"/>
          <w:i w:val="0"/>
          <w:color w:val="211D1A"/>
          <w:sz w:val="21"/>
        </w:rPr>
        <w:t>☐  Allow for insulation and floor build-up</w:t>
      </w:r>
    </w:p>
    <w:p>
      <w:r>
        <w:rPr>
          <w:rFonts w:ascii="Calibri" w:hAnsi="Calibri"/>
          <w:b w:val="0"/>
          <w:i w:val="0"/>
          <w:color w:val="211D1A"/>
          <w:sz w:val="21"/>
        </w:rPr>
        <w:t>☐  Confirm the roof structure</w:t>
      </w:r>
    </w:p>
    <w:p>
      <w:r>
        <w:rPr>
          <w:rFonts w:ascii="Calibri" w:hAnsi="Calibri"/>
          <w:b w:val="0"/>
          <w:i w:val="0"/>
          <w:color w:val="211D1A"/>
          <w:sz w:val="21"/>
        </w:rPr>
        <w:t>☐  Commission a Building Regulations set</w:t>
      </w:r>
    </w:p>
    <w:p>
      <w:r>
        <w:rPr>
          <w:rFonts w:ascii="Calibri" w:hAnsi="Calibri"/>
          <w:b w:val="0"/>
          <w:i w:val="0"/>
          <w:color w:val="211D1A"/>
          <w:sz w:val="21"/>
        </w:rPr>
        <w:t>☐  Book building control inspections</w:t>
      </w:r>
    </w:p>
    <w:p/>
    <w:p>
      <w:r>
        <w:rPr>
          <w:rFonts w:ascii="Calibri" w:hAnsi="Calibri"/>
          <w:b/>
          <w:i w:val="0"/>
          <w:color w:val="211D1A"/>
          <w:sz w:val="26"/>
        </w:rPr>
        <w:t>6. Questions people ask</w:t>
      </w:r>
    </w:p>
    <w:p>
      <w:r>
        <w:rPr>
          <w:rFonts w:ascii="Calibri" w:hAnsi="Calibri"/>
          <w:b/>
          <w:i w:val="0"/>
          <w:color w:val="211D1A"/>
          <w:sz w:val="21"/>
        </w:rPr>
        <w:t>Is my loft tall enough?</w:t>
      </w:r>
    </w:p>
    <w:p>
      <w:r>
        <w:rPr>
          <w:rFonts w:ascii="Calibri" w:hAnsi="Calibri"/>
          <w:b w:val="0"/>
          <w:i w:val="0"/>
          <w:color w:val="57504B"/>
          <w:sz w:val="21"/>
        </w:rPr>
        <w:t>Send us the ridge height and we will tell you honestly. Where it is tight, a dormer or hip-to-gable usually solves it, and we say so before you spend on design.</w:t>
      </w:r>
    </w:p>
    <w:p>
      <w:r>
        <w:rPr>
          <w:rFonts w:ascii="Calibri" w:hAnsi="Calibri"/>
          <w:b/>
          <w:i w:val="0"/>
          <w:color w:val="211D1A"/>
          <w:sz w:val="21"/>
        </w:rPr>
        <w:t>Do I need planning permission for a dormer?</w:t>
      </w:r>
    </w:p>
    <w:p>
      <w:r>
        <w:rPr>
          <w:rFonts w:ascii="Calibri" w:hAnsi="Calibri"/>
          <w:b w:val="0"/>
          <w:i w:val="0"/>
          <w:color w:val="57504B"/>
          <w:sz w:val="21"/>
        </w:rPr>
        <w:t>Rear dormers are often permitted development within volume limits. Front dormers and terraced properties are far more likely to need a full application.</w:t>
      </w:r>
    </w:p>
    <w:p>
      <w:r>
        <w:rPr>
          <w:rFonts w:ascii="Calibri" w:hAnsi="Calibri"/>
          <w:b/>
          <w:i w:val="0"/>
          <w:color w:val="211D1A"/>
          <w:sz w:val="21"/>
        </w:rPr>
        <w:t>Can a garage conversion be done without approval?</w:t>
      </w:r>
    </w:p>
    <w:p>
      <w:r>
        <w:rPr>
          <w:rFonts w:ascii="Calibri" w:hAnsi="Calibri"/>
          <w:b w:val="0"/>
          <w:i w:val="0"/>
          <w:color w:val="57504B"/>
          <w:sz w:val="21"/>
        </w:rPr>
        <w:t>Building Regulations always apply. Planning permission often does not, but we confirm your position in writing first.</w:t>
      </w:r>
    </w:p>
    <w:p/>
    <w:p>
      <w:r>
        <w:rPr>
          <w:rFonts w:ascii="Calibri" w:hAnsi="Calibri"/>
          <w:b/>
          <w:i w:val="0"/>
          <w:color w:val="C2402A"/>
          <w:sz w:val="24"/>
        </w:rPr>
        <w:t>Get your free planning-route check</w:t>
      </w:r>
    </w:p>
    <w:p>
      <w:r>
        <w:rPr>
          <w:rFonts w:ascii="Calibri" w:hAnsi="Calibri"/>
          <w:b w:val="0"/>
          <w:i w:val="0"/>
          <w:color w:val="211D1A"/>
          <w:sz w:val="20"/>
        </w:rPr>
        <w:t>Send your postcode and what you are planning. You get the route in writing, the drawings you need, and one fixed price, usually the same working day. If any application we submit is refused, you get a 100% refund within 5 days.</w:t>
      </w:r>
    </w:p>
    <w:p>
      <w:r>
        <w:rPr>
          <w:rFonts w:ascii="Calibri" w:hAnsi="Calibri"/>
          <w:b/>
          <w:i w:val="0"/>
          <w:color w:val="211D1A"/>
          <w:sz w:val="20"/>
        </w:rPr>
        <w:t>exparc.co.uk/get-a-quote  ·  info@exparc.co.uk  ·  +44 118 207 2681</w:t>
      </w:r>
    </w:p>
    <w:p>
      <w:r>
        <w:rPr>
          <w:rFonts w:ascii="Calibri" w:hAnsi="Calibri"/>
          <w:b w:val="0"/>
          <w:i w:val="0"/>
          <w:color w:val="57504B"/>
          <w:sz w:val="16"/>
        </w:rPr>
        <w:t>General information for UK projects, not planning advice for a specific property. Exp-Arc Limited, company no. 16980239.</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