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C2402A"/>
          <w:sz w:val="17"/>
        </w:rPr>
        <w:t>EXP | ARC  ·  FREE GUIDE</w:t>
      </w:r>
    </w:p>
    <w:p>
      <w:r>
        <w:rPr>
          <w:rFonts w:ascii="Calibri" w:hAnsi="Calibri"/>
          <w:b/>
          <w:i w:val="0"/>
          <w:color w:val="211D1A"/>
          <w:sz w:val="40"/>
        </w:rPr>
        <w:t>The Planning Permission Guide</w:t>
      </w:r>
    </w:p>
    <w:p>
      <w:r>
        <w:rPr>
          <w:rFonts w:ascii="Calibri" w:hAnsi="Calibri"/>
          <w:b w:val="0"/>
          <w:i w:val="0"/>
          <w:color w:val="57504B"/>
          <w:sz w:val="22"/>
        </w:rPr>
        <w:t>Routes, timescales, and what actually gets applications approved.</w:t>
      </w:r>
    </w:p>
    <w:p>
      <w:r>
        <w:rPr>
          <w:rFonts w:ascii="Calibri" w:hAnsi="Calibri"/>
          <w:b w:val="0"/>
          <w:i/>
          <w:color w:val="57504B"/>
          <w:sz w:val="18"/>
        </w:rPr>
        <w:t>This is the editable Word version. The PDF and all our other guides are at exparc.co.uk/free-guides</w:t>
      </w:r>
    </w:p>
    <w:p/>
    <w:p>
      <w:r>
        <w:rPr>
          <w:rFonts w:ascii="Calibri" w:hAnsi="Calibri"/>
          <w:b/>
          <w:i w:val="0"/>
          <w:color w:val="211D1A"/>
          <w:sz w:val="26"/>
        </w:rPr>
        <w:t>1. Your approval routes</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Route</w:t>
            </w:r>
          </w:p>
        </w:tc>
        <w:tc>
          <w:tcPr>
            <w:tcW w:type="dxa" w:w="3312"/>
          </w:tcPr>
          <w:p>
            <w:r/>
            <w:r>
              <w:rPr>
                <w:rFonts w:ascii="Calibri" w:hAnsi="Calibri"/>
                <w:b/>
                <w:i w:val="0"/>
                <w:color w:val="211D1A"/>
                <w:sz w:val="19"/>
              </w:rPr>
              <w:t>When it applies</w:t>
            </w:r>
          </w:p>
        </w:tc>
        <w:tc>
          <w:tcPr>
            <w:tcW w:type="dxa" w:w="3312"/>
          </w:tcPr>
          <w:p>
            <w:r/>
            <w:r>
              <w:rPr>
                <w:rFonts w:ascii="Calibri" w:hAnsi="Calibri"/>
                <w:b/>
                <w:i w:val="0"/>
                <w:color w:val="211D1A"/>
                <w:sz w:val="19"/>
              </w:rPr>
              <w:t>What you submit</w:t>
            </w:r>
          </w:p>
        </w:tc>
      </w:tr>
      <w:tr>
        <w:tc>
          <w:tcPr>
            <w:tcW w:type="dxa" w:w="3312"/>
          </w:tcPr>
          <w:p>
            <w:r/>
            <w:r>
              <w:rPr>
                <w:rFonts w:ascii="Calibri" w:hAnsi="Calibri"/>
                <w:b/>
                <w:i w:val="0"/>
                <w:color w:val="211D1A"/>
                <w:sz w:val="19"/>
              </w:rPr>
              <w:t>Permitted Development</w:t>
            </w:r>
          </w:p>
        </w:tc>
        <w:tc>
          <w:tcPr>
            <w:tcW w:type="dxa" w:w="3312"/>
          </w:tcPr>
          <w:p>
            <w:r/>
            <w:r>
              <w:rPr>
                <w:rFonts w:ascii="Calibri" w:hAnsi="Calibri"/>
                <w:b w:val="0"/>
                <w:i w:val="0"/>
                <w:color w:val="211D1A"/>
                <w:sz w:val="19"/>
              </w:rPr>
              <w:t>Works within nationally set limits</w:t>
            </w:r>
          </w:p>
        </w:tc>
        <w:tc>
          <w:tcPr>
            <w:tcW w:type="dxa" w:w="3312"/>
          </w:tcPr>
          <w:p>
            <w:r/>
            <w:r>
              <w:rPr>
                <w:rFonts w:ascii="Calibri" w:hAnsi="Calibri"/>
                <w:b w:val="0"/>
                <w:i w:val="0"/>
                <w:color w:val="211D1A"/>
                <w:sz w:val="19"/>
              </w:rPr>
              <w:t>Lawful development certificate advised</w:t>
            </w:r>
          </w:p>
        </w:tc>
      </w:tr>
      <w:tr>
        <w:tc>
          <w:tcPr>
            <w:tcW w:type="dxa" w:w="3312"/>
          </w:tcPr>
          <w:p>
            <w:r/>
            <w:r>
              <w:rPr>
                <w:rFonts w:ascii="Calibri" w:hAnsi="Calibri"/>
                <w:b/>
                <w:i w:val="0"/>
                <w:color w:val="211D1A"/>
                <w:sz w:val="19"/>
              </w:rPr>
              <w:t>Prior Approval</w:t>
            </w:r>
          </w:p>
        </w:tc>
        <w:tc>
          <w:tcPr>
            <w:tcW w:type="dxa" w:w="3312"/>
          </w:tcPr>
          <w:p>
            <w:r/>
            <w:r>
              <w:rPr>
                <w:rFonts w:ascii="Calibri" w:hAnsi="Calibri"/>
                <w:b w:val="0"/>
                <w:i w:val="0"/>
                <w:color w:val="211D1A"/>
                <w:sz w:val="19"/>
              </w:rPr>
              <w:t>Larger rear extensions and some change of use</w:t>
            </w:r>
          </w:p>
        </w:tc>
        <w:tc>
          <w:tcPr>
            <w:tcW w:type="dxa" w:w="3312"/>
          </w:tcPr>
          <w:p>
            <w:r/>
            <w:r>
              <w:rPr>
                <w:rFonts w:ascii="Calibri" w:hAnsi="Calibri"/>
                <w:b w:val="0"/>
                <w:i w:val="0"/>
                <w:color w:val="211D1A"/>
                <w:sz w:val="19"/>
              </w:rPr>
              <w:t>Notification with drawings and consultation</w:t>
            </w:r>
          </w:p>
        </w:tc>
      </w:tr>
      <w:tr>
        <w:tc>
          <w:tcPr>
            <w:tcW w:type="dxa" w:w="3312"/>
          </w:tcPr>
          <w:p>
            <w:r/>
            <w:r>
              <w:rPr>
                <w:rFonts w:ascii="Calibri" w:hAnsi="Calibri"/>
                <w:b/>
                <w:i w:val="0"/>
                <w:color w:val="211D1A"/>
                <w:sz w:val="19"/>
              </w:rPr>
              <w:t>Full Planning</w:t>
            </w:r>
          </w:p>
        </w:tc>
        <w:tc>
          <w:tcPr>
            <w:tcW w:type="dxa" w:w="3312"/>
          </w:tcPr>
          <w:p>
            <w:r/>
            <w:r>
              <w:rPr>
                <w:rFonts w:ascii="Calibri" w:hAnsi="Calibri"/>
                <w:b w:val="0"/>
                <w:i w:val="0"/>
                <w:color w:val="211D1A"/>
                <w:sz w:val="19"/>
              </w:rPr>
              <w:t>Anything beyond permitted limits or in sensitive locations</w:t>
            </w:r>
          </w:p>
        </w:tc>
        <w:tc>
          <w:tcPr>
            <w:tcW w:type="dxa" w:w="3312"/>
          </w:tcPr>
          <w:p>
            <w:r/>
            <w:r>
              <w:rPr>
                <w:rFonts w:ascii="Calibri" w:hAnsi="Calibri"/>
                <w:b w:val="0"/>
                <w:i w:val="0"/>
                <w:color w:val="211D1A"/>
                <w:sz w:val="19"/>
              </w:rPr>
              <w:t>Full application, drawings, statements</w:t>
            </w:r>
          </w:p>
        </w:tc>
      </w:tr>
    </w:tbl>
    <w:p/>
    <w:p>
      <w:r>
        <w:rPr>
          <w:rFonts w:ascii="Calibri" w:hAnsi="Calibri"/>
          <w:b/>
          <w:i w:val="0"/>
          <w:color w:val="211D1A"/>
          <w:sz w:val="26"/>
        </w:rPr>
        <w:t>2. What trips people up</w:t>
      </w:r>
    </w:p>
    <w:p>
      <w:pPr>
        <w:pStyle w:val="ListBullet"/>
      </w:pPr>
      <w:r>
        <w:rPr>
          <w:rFonts w:ascii="Calibri" w:hAnsi="Calibri"/>
          <w:b w:val="0"/>
          <w:i w:val="0"/>
          <w:color w:val="211D1A"/>
          <w:sz w:val="20"/>
        </w:rPr>
        <w:t>Around 88% of householder applications are approved nationally. Preparation, not luck, is the difference.</w:t>
      </w:r>
    </w:p>
    <w:p>
      <w:pPr>
        <w:pStyle w:val="ListBullet"/>
      </w:pPr>
      <w:r>
        <w:rPr>
          <w:rFonts w:ascii="Calibri" w:hAnsi="Calibri"/>
          <w:b w:val="0"/>
          <w:i w:val="0"/>
          <w:color w:val="211D1A"/>
          <w:sz w:val="20"/>
        </w:rPr>
        <w:t>Assuming the wrong route is the most common early mistake, and the most expensive one to correct.</w:t>
      </w:r>
    </w:p>
    <w:p>
      <w:pPr>
        <w:pStyle w:val="ListBullet"/>
      </w:pPr>
      <w:r>
        <w:rPr>
          <w:rFonts w:ascii="Calibri" w:hAnsi="Calibri"/>
          <w:b w:val="0"/>
          <w:i w:val="0"/>
          <w:color w:val="211D1A"/>
          <w:sz w:val="20"/>
        </w:rPr>
        <w:t>Expect roughly 8 weeks from validation, plus design time before that.</w:t>
      </w:r>
    </w:p>
    <w:p>
      <w:pPr>
        <w:pStyle w:val="ListBullet"/>
      </w:pPr>
      <w:r>
        <w:rPr>
          <w:rFonts w:ascii="Calibri" w:hAnsi="Calibri"/>
          <w:b w:val="0"/>
          <w:i w:val="0"/>
          <w:color w:val="211D1A"/>
          <w:sz w:val="20"/>
        </w:rPr>
        <w:t>A refusal is not the end. Revised submissions and appeals succeed regularly.</w:t>
      </w:r>
    </w:p>
    <w:p/>
    <w:p>
      <w:r>
        <w:rPr>
          <w:rFonts w:ascii="Calibri" w:hAnsi="Calibri"/>
          <w:b/>
          <w:i w:val="0"/>
          <w:color w:val="211D1A"/>
          <w:sz w:val="26"/>
        </w:rPr>
        <w:t>3. What it costs</w:t>
      </w:r>
    </w:p>
    <w:p>
      <w:r>
        <w:rPr>
          <w:rFonts w:ascii="Calibri" w:hAnsi="Calibri"/>
          <w:b w:val="0"/>
          <w:i w:val="0"/>
          <w:color w:val="57504B"/>
          <w:sz w:val="20"/>
        </w:rPr>
        <w:t>Typical UK market ranges, so you can sanity-check any quote you receive.</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What</w:t>
            </w:r>
          </w:p>
        </w:tc>
        <w:tc>
          <w:tcPr>
            <w:tcW w:type="dxa" w:w="3312"/>
          </w:tcPr>
          <w:p>
            <w:r/>
            <w:r>
              <w:rPr>
                <w:rFonts w:ascii="Calibri" w:hAnsi="Calibri"/>
                <w:b/>
                <w:i w:val="0"/>
                <w:color w:val="211D1A"/>
                <w:sz w:val="19"/>
              </w:rPr>
              <w:t>Typical UK range</w:t>
            </w:r>
          </w:p>
        </w:tc>
        <w:tc>
          <w:tcPr>
            <w:tcW w:type="dxa" w:w="3312"/>
          </w:tcPr>
          <w:p>
            <w:r/>
            <w:r>
              <w:rPr>
                <w:rFonts w:ascii="Calibri" w:hAnsi="Calibri"/>
                <w:b/>
                <w:i w:val="0"/>
                <w:color w:val="211D1A"/>
                <w:sz w:val="19"/>
              </w:rPr>
              <w:t>Who it is paid to</w:t>
            </w:r>
          </w:p>
        </w:tc>
      </w:tr>
      <w:tr>
        <w:tc>
          <w:tcPr>
            <w:tcW w:type="dxa" w:w="3312"/>
          </w:tcPr>
          <w:p>
            <w:r/>
            <w:r>
              <w:rPr>
                <w:rFonts w:ascii="Calibri" w:hAnsi="Calibri"/>
                <w:b/>
                <w:i w:val="0"/>
                <w:color w:val="211D1A"/>
                <w:sz w:val="19"/>
              </w:rPr>
              <w:t>Planning drawings</w:t>
            </w:r>
          </w:p>
        </w:tc>
        <w:tc>
          <w:tcPr>
            <w:tcW w:type="dxa" w:w="3312"/>
          </w:tcPr>
          <w:p>
            <w:r/>
            <w:r>
              <w:rPr>
                <w:rFonts w:ascii="Calibri" w:hAnsi="Calibri"/>
                <w:b w:val="0"/>
                <w:i w:val="0"/>
                <w:color w:val="211D1A"/>
                <w:sz w:val="19"/>
              </w:rPr>
              <w:t>£1,200 – £2,500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Full set incl. Building Regs</w:t>
            </w:r>
          </w:p>
        </w:tc>
        <w:tc>
          <w:tcPr>
            <w:tcW w:type="dxa" w:w="3312"/>
          </w:tcPr>
          <w:p>
            <w:r/>
            <w:r>
              <w:rPr>
                <w:rFonts w:ascii="Calibri" w:hAnsi="Calibri"/>
                <w:b w:val="0"/>
                <w:i w:val="0"/>
                <w:color w:val="211D1A"/>
                <w:sz w:val="19"/>
              </w:rPr>
              <w:t>£2,500 – £5,000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Council application fee</w:t>
            </w:r>
          </w:p>
        </w:tc>
        <w:tc>
          <w:tcPr>
            <w:tcW w:type="dxa" w:w="3312"/>
          </w:tcPr>
          <w:p>
            <w:r/>
            <w:r>
              <w:rPr>
                <w:rFonts w:ascii="Calibri" w:hAnsi="Calibri"/>
                <w:b w:val="0"/>
                <w:i w:val="0"/>
                <w:color w:val="211D1A"/>
                <w:sz w:val="19"/>
              </w:rPr>
              <w:t>£548 (householder, England, from April 2026)</w:t>
            </w:r>
          </w:p>
        </w:tc>
        <w:tc>
          <w:tcPr>
            <w:tcW w:type="dxa" w:w="3312"/>
          </w:tcPr>
          <w:p>
            <w:r/>
            <w:r>
              <w:rPr>
                <w:rFonts w:ascii="Calibri" w:hAnsi="Calibri"/>
                <w:b w:val="0"/>
                <w:i w:val="0"/>
                <w:color w:val="211D1A"/>
                <w:sz w:val="19"/>
              </w:rPr>
              <w:t>Local authority</w:t>
            </w:r>
          </w:p>
        </w:tc>
      </w:tr>
      <w:tr>
        <w:tc>
          <w:tcPr>
            <w:tcW w:type="dxa" w:w="3312"/>
          </w:tcPr>
          <w:p>
            <w:r/>
            <w:r>
              <w:rPr>
                <w:rFonts w:ascii="Calibri" w:hAnsi="Calibri"/>
                <w:b/>
                <w:i w:val="0"/>
                <w:color w:val="211D1A"/>
                <w:sz w:val="19"/>
              </w:rPr>
              <w:t>Structural engineer</w:t>
            </w:r>
          </w:p>
        </w:tc>
        <w:tc>
          <w:tcPr>
            <w:tcW w:type="dxa" w:w="3312"/>
          </w:tcPr>
          <w:p>
            <w:r/>
            <w:r>
              <w:rPr>
                <w:rFonts w:ascii="Calibri" w:hAnsi="Calibri"/>
                <w:b w:val="0"/>
                <w:i w:val="0"/>
                <w:color w:val="211D1A"/>
                <w:sz w:val="19"/>
              </w:rPr>
              <w:t>£700 – £2,000</w:t>
            </w:r>
          </w:p>
        </w:tc>
        <w:tc>
          <w:tcPr>
            <w:tcW w:type="dxa" w:w="3312"/>
          </w:tcPr>
          <w:p>
            <w:r/>
            <w:r>
              <w:rPr>
                <w:rFonts w:ascii="Calibri" w:hAnsi="Calibri"/>
                <w:b w:val="0"/>
                <w:i w:val="0"/>
                <w:color w:val="211D1A"/>
                <w:sz w:val="19"/>
              </w:rPr>
              <w:t>Engineer, where structure changes</w:t>
            </w:r>
          </w:p>
        </w:tc>
      </w:tr>
      <w:tr>
        <w:tc>
          <w:tcPr>
            <w:tcW w:type="dxa" w:w="3312"/>
          </w:tcPr>
          <w:p>
            <w:r/>
            <w:r>
              <w:rPr>
                <w:rFonts w:ascii="Calibri" w:hAnsi="Calibri"/>
                <w:b/>
                <w:i w:val="0"/>
                <w:color w:val="211D1A"/>
                <w:sz w:val="19"/>
              </w:rPr>
              <w:t>Measured survey</w:t>
            </w:r>
          </w:p>
        </w:tc>
        <w:tc>
          <w:tcPr>
            <w:tcW w:type="dxa" w:w="3312"/>
          </w:tcPr>
          <w:p>
            <w:r/>
            <w:r>
              <w:rPr>
                <w:rFonts w:ascii="Calibri" w:hAnsi="Calibri"/>
                <w:b w:val="0"/>
                <w:i w:val="0"/>
                <w:color w:val="211D1A"/>
                <w:sz w:val="19"/>
              </w:rPr>
              <w:t>Up to £450, or £0 with a guided self-survey</w:t>
            </w:r>
          </w:p>
        </w:tc>
        <w:tc>
          <w:tcPr>
            <w:tcW w:type="dxa" w:w="3312"/>
          </w:tcPr>
          <w:p>
            <w:r/>
            <w:r>
              <w:rPr>
                <w:rFonts w:ascii="Calibri" w:hAnsi="Calibri"/>
                <w:b w:val="0"/>
                <w:i w:val="0"/>
                <w:color w:val="211D1A"/>
                <w:sz w:val="19"/>
              </w:rPr>
              <w:t>Surveyor</w:t>
            </w:r>
          </w:p>
        </w:tc>
      </w:tr>
    </w:tbl>
    <w:p/>
    <w:p>
      <w:r>
        <w:rPr>
          <w:rFonts w:ascii="Calibri" w:hAnsi="Calibri"/>
          <w:b/>
          <w:i w:val="0"/>
          <w:color w:val="211D1A"/>
          <w:sz w:val="26"/>
        </w:rPr>
        <w:t>4. How long it takes</w:t>
      </w:r>
    </w:p>
    <w:tbl>
      <w:tblPr>
        <w:tblStyle w:val="TableGrid"/>
        <w:tblW w:type="auto" w:w="0"/>
        <w:tblLook w:firstColumn="1" w:firstRow="1" w:lastColumn="0" w:lastRow="0" w:noHBand="0" w:noVBand="1" w:val="04A0"/>
      </w:tblPr>
      <w:tblGrid>
        <w:gridCol w:w="4968"/>
        <w:gridCol w:w="4968"/>
      </w:tblGrid>
      <w:tr>
        <w:tc>
          <w:tcPr>
            <w:tcW w:type="dxa" w:w="4968"/>
          </w:tcPr>
          <w:p>
            <w:r/>
            <w:r>
              <w:rPr>
                <w:rFonts w:ascii="Calibri" w:hAnsi="Calibri"/>
                <w:b/>
                <w:i w:val="0"/>
                <w:color w:val="211D1A"/>
                <w:sz w:val="19"/>
              </w:rPr>
              <w:t>Stage</w:t>
            </w:r>
          </w:p>
        </w:tc>
        <w:tc>
          <w:tcPr>
            <w:tcW w:type="dxa" w:w="4968"/>
          </w:tcPr>
          <w:p>
            <w:r/>
            <w:r>
              <w:rPr>
                <w:rFonts w:ascii="Calibri" w:hAnsi="Calibri"/>
                <w:b/>
                <w:i w:val="0"/>
                <w:color w:val="211D1A"/>
                <w:sz w:val="19"/>
              </w:rPr>
              <w:t>Typical time</w:t>
            </w:r>
          </w:p>
        </w:tc>
      </w:tr>
      <w:tr>
        <w:tc>
          <w:tcPr>
            <w:tcW w:type="dxa" w:w="4968"/>
          </w:tcPr>
          <w:p>
            <w:r/>
            <w:r>
              <w:rPr>
                <w:rFonts w:ascii="Calibri" w:hAnsi="Calibri"/>
                <w:b/>
                <w:i w:val="0"/>
                <w:color w:val="211D1A"/>
                <w:sz w:val="19"/>
              </w:rPr>
              <w:t>Free planning-route check</w:t>
            </w:r>
          </w:p>
        </w:tc>
        <w:tc>
          <w:tcPr>
            <w:tcW w:type="dxa" w:w="4968"/>
          </w:tcPr>
          <w:p>
            <w:r/>
            <w:r>
              <w:rPr>
                <w:rFonts w:ascii="Calibri" w:hAnsi="Calibri"/>
                <w:b w:val="0"/>
                <w:i w:val="0"/>
                <w:color w:val="211D1A"/>
                <w:sz w:val="19"/>
              </w:rPr>
              <w:t>Same working day</w:t>
            </w:r>
          </w:p>
        </w:tc>
      </w:tr>
      <w:tr>
        <w:tc>
          <w:tcPr>
            <w:tcW w:type="dxa" w:w="4968"/>
          </w:tcPr>
          <w:p>
            <w:r/>
            <w:r>
              <w:rPr>
                <w:rFonts w:ascii="Calibri" w:hAnsi="Calibri"/>
                <w:b/>
                <w:i w:val="0"/>
                <w:color w:val="211D1A"/>
                <w:sz w:val="19"/>
              </w:rPr>
              <w:t>First draft drawings</w:t>
            </w:r>
          </w:p>
        </w:tc>
        <w:tc>
          <w:tcPr>
            <w:tcW w:type="dxa" w:w="4968"/>
          </w:tcPr>
          <w:p>
            <w:r/>
            <w:r>
              <w:rPr>
                <w:rFonts w:ascii="Calibri" w:hAnsi="Calibri"/>
                <w:b w:val="0"/>
                <w:i w:val="0"/>
                <w:color w:val="211D1A"/>
                <w:sz w:val="19"/>
              </w:rPr>
              <w:t>10 working days</w:t>
            </w:r>
          </w:p>
        </w:tc>
      </w:tr>
      <w:tr>
        <w:tc>
          <w:tcPr>
            <w:tcW w:type="dxa" w:w="4968"/>
          </w:tcPr>
          <w:p>
            <w:r/>
            <w:r>
              <w:rPr>
                <w:rFonts w:ascii="Calibri" w:hAnsi="Calibri"/>
                <w:b/>
                <w:i w:val="0"/>
                <w:color w:val="211D1A"/>
                <w:sz w:val="19"/>
              </w:rPr>
              <w:t>Revisions until you are happy</w:t>
            </w:r>
          </w:p>
        </w:tc>
        <w:tc>
          <w:tcPr>
            <w:tcW w:type="dxa" w:w="4968"/>
          </w:tcPr>
          <w:p>
            <w:r/>
            <w:r>
              <w:rPr>
                <w:rFonts w:ascii="Calibri" w:hAnsi="Calibri"/>
                <w:b w:val="0"/>
                <w:i w:val="0"/>
                <w:color w:val="211D1A"/>
                <w:sz w:val="19"/>
              </w:rPr>
              <w:t>Unlimited, usually 1 to 2 rounds</w:t>
            </w:r>
          </w:p>
        </w:tc>
      </w:tr>
      <w:tr>
        <w:tc>
          <w:tcPr>
            <w:tcW w:type="dxa" w:w="4968"/>
          </w:tcPr>
          <w:p>
            <w:r/>
            <w:r>
              <w:rPr>
                <w:rFonts w:ascii="Calibri" w:hAnsi="Calibri"/>
                <w:b/>
                <w:i w:val="0"/>
                <w:color w:val="211D1A"/>
                <w:sz w:val="19"/>
              </w:rPr>
              <w:t>Council decision</w:t>
            </w:r>
          </w:p>
        </w:tc>
        <w:tc>
          <w:tcPr>
            <w:tcW w:type="dxa" w:w="4968"/>
          </w:tcPr>
          <w:p>
            <w:r/>
            <w:r>
              <w:rPr>
                <w:rFonts w:ascii="Calibri" w:hAnsi="Calibri"/>
                <w:b w:val="0"/>
                <w:i w:val="0"/>
                <w:color w:val="211D1A"/>
                <w:sz w:val="19"/>
              </w:rPr>
              <w:t>6 to 8 weeks from validation</w:t>
            </w:r>
          </w:p>
        </w:tc>
      </w:tr>
      <w:tr>
        <w:tc>
          <w:tcPr>
            <w:tcW w:type="dxa" w:w="4968"/>
          </w:tcPr>
          <w:p>
            <w:r/>
            <w:r>
              <w:rPr>
                <w:rFonts w:ascii="Calibri" w:hAnsi="Calibri"/>
                <w:b/>
                <w:i w:val="0"/>
                <w:color w:val="211D1A"/>
                <w:sz w:val="19"/>
              </w:rPr>
              <w:t>Building Regulations set</w:t>
            </w:r>
          </w:p>
        </w:tc>
        <w:tc>
          <w:tcPr>
            <w:tcW w:type="dxa" w:w="4968"/>
          </w:tcPr>
          <w:p>
            <w:r/>
            <w:r>
              <w:rPr>
                <w:rFonts w:ascii="Calibri" w:hAnsi="Calibri"/>
                <w:b w:val="0"/>
                <w:i w:val="0"/>
                <w:color w:val="211D1A"/>
                <w:sz w:val="19"/>
              </w:rPr>
              <w:t>1 to 2 weeks after approval</w:t>
            </w:r>
          </w:p>
        </w:tc>
      </w:tr>
    </w:tbl>
    <w:p/>
    <w:p>
      <w:r>
        <w:rPr>
          <w:rFonts w:ascii="Calibri" w:hAnsi="Calibri"/>
          <w:b/>
          <w:i w:val="0"/>
          <w:color w:val="211D1A"/>
          <w:sz w:val="26"/>
        </w:rPr>
        <w:t>5. Your checklist</w:t>
      </w:r>
    </w:p>
    <w:p>
      <w:r>
        <w:rPr>
          <w:rFonts w:ascii="Calibri" w:hAnsi="Calibri"/>
          <w:b w:val="0"/>
          <w:i w:val="0"/>
          <w:color w:val="211D1A"/>
          <w:sz w:val="21"/>
        </w:rPr>
        <w:t>☐  Get the route confirmed in writing</w:t>
      </w:r>
    </w:p>
    <w:p>
      <w:r>
        <w:rPr>
          <w:rFonts w:ascii="Calibri" w:hAnsi="Calibri"/>
          <w:b w:val="0"/>
          <w:i w:val="0"/>
          <w:color w:val="211D1A"/>
          <w:sz w:val="21"/>
        </w:rPr>
        <w:t>☐  Prepare accurate existing drawings</w:t>
      </w:r>
    </w:p>
    <w:p>
      <w:r>
        <w:rPr>
          <w:rFonts w:ascii="Calibri" w:hAnsi="Calibri"/>
          <w:b w:val="0"/>
          <w:i w:val="0"/>
          <w:color w:val="211D1A"/>
          <w:sz w:val="21"/>
        </w:rPr>
        <w:t>☐  Address overlooking and neighbour impact early</w:t>
      </w:r>
    </w:p>
    <w:p>
      <w:r>
        <w:rPr>
          <w:rFonts w:ascii="Calibri" w:hAnsi="Calibri"/>
          <w:b w:val="0"/>
          <w:i w:val="0"/>
          <w:color w:val="211D1A"/>
          <w:sz w:val="21"/>
        </w:rPr>
        <w:t>☐  Submit a complete, validated package</w:t>
      </w:r>
    </w:p>
    <w:p>
      <w:r>
        <w:rPr>
          <w:rFonts w:ascii="Calibri" w:hAnsi="Calibri"/>
          <w:b w:val="0"/>
          <w:i w:val="0"/>
          <w:color w:val="211D1A"/>
          <w:sz w:val="21"/>
        </w:rPr>
        <w:t>☐  Track the case officer's comments</w:t>
      </w:r>
    </w:p>
    <w:p>
      <w:r>
        <w:rPr>
          <w:rFonts w:ascii="Calibri" w:hAnsi="Calibri"/>
          <w:b w:val="0"/>
          <w:i w:val="0"/>
          <w:color w:val="211D1A"/>
          <w:sz w:val="21"/>
        </w:rPr>
        <w:t>☐  Know your appeal options before you need them</w:t>
      </w:r>
    </w:p>
    <w:p/>
    <w:p>
      <w:r>
        <w:rPr>
          <w:rFonts w:ascii="Calibri" w:hAnsi="Calibri"/>
          <w:b/>
          <w:i w:val="0"/>
          <w:color w:val="211D1A"/>
          <w:sz w:val="26"/>
        </w:rPr>
        <w:t>6. Questions people ask</w:t>
      </w:r>
    </w:p>
    <w:p>
      <w:r>
        <w:rPr>
          <w:rFonts w:ascii="Calibri" w:hAnsi="Calibri"/>
          <w:b/>
          <w:i w:val="0"/>
          <w:color w:val="211D1A"/>
          <w:sz w:val="21"/>
        </w:rPr>
        <w:t>How long does planning permission take?</w:t>
      </w:r>
    </w:p>
    <w:p>
      <w:r>
        <w:rPr>
          <w:rFonts w:ascii="Calibri" w:hAnsi="Calibri"/>
          <w:b w:val="0"/>
          <w:i w:val="0"/>
          <w:color w:val="57504B"/>
          <w:sz w:val="21"/>
        </w:rPr>
        <w:t>Most householder and minor applications are decided in about 8 weeks from validation, though validation itself can take a week or two.</w:t>
      </w:r>
    </w:p>
    <w:p>
      <w:r>
        <w:rPr>
          <w:rFonts w:ascii="Calibri" w:hAnsi="Calibri"/>
          <w:b/>
          <w:i w:val="0"/>
          <w:color w:val="211D1A"/>
          <w:sz w:val="21"/>
        </w:rPr>
        <w:t>What is a lawful development certificate?</w:t>
      </w:r>
    </w:p>
    <w:p>
      <w:r>
        <w:rPr>
          <w:rFonts w:ascii="Calibri" w:hAnsi="Calibri"/>
          <w:b w:val="0"/>
          <w:i w:val="0"/>
          <w:color w:val="57504B"/>
          <w:sz w:val="21"/>
        </w:rPr>
        <w:t>Formal confirmation that your project is permitted development. It is not compulsory, but it protects you at resale and against enforcement.</w:t>
      </w:r>
    </w:p>
    <w:p>
      <w:r>
        <w:rPr>
          <w:rFonts w:ascii="Calibri" w:hAnsi="Calibri"/>
          <w:b/>
          <w:i w:val="0"/>
          <w:color w:val="211D1A"/>
          <w:sz w:val="21"/>
        </w:rPr>
        <w:t>What if I am refused?</w:t>
      </w:r>
    </w:p>
    <w:p>
      <w:r>
        <w:rPr>
          <w:rFonts w:ascii="Calibri" w:hAnsi="Calibri"/>
          <w:b w:val="0"/>
          <w:i w:val="0"/>
          <w:color w:val="57504B"/>
          <w:sz w:val="21"/>
        </w:rPr>
        <w:t>We handle changes and resubmission, and if any application we submit is refused you get a 100% refund within 5 days.</w:t>
      </w:r>
    </w:p>
    <w:p/>
    <w:p>
      <w:r>
        <w:rPr>
          <w:rFonts w:ascii="Calibri" w:hAnsi="Calibri"/>
          <w:b/>
          <w:i w:val="0"/>
          <w:color w:val="C2402A"/>
          <w:sz w:val="24"/>
        </w:rPr>
        <w:t>Get your free planning-route check</w:t>
      </w:r>
    </w:p>
    <w:p>
      <w:r>
        <w:rPr>
          <w:rFonts w:ascii="Calibri" w:hAnsi="Calibri"/>
          <w:b w:val="0"/>
          <w:i w:val="0"/>
          <w:color w:val="211D1A"/>
          <w:sz w:val="20"/>
        </w:rPr>
        <w:t>Send your postcode and what you are planning. You get the route in writing, the drawings you need, and one fixed price, usually the same working day. If any application we submit is refused, you get a 100% refund within 5 days.</w:t>
      </w:r>
    </w:p>
    <w:p>
      <w:r>
        <w:rPr>
          <w:rFonts w:ascii="Calibri" w:hAnsi="Calibri"/>
          <w:b/>
          <w:i w:val="0"/>
          <w:color w:val="211D1A"/>
          <w:sz w:val="20"/>
        </w:rPr>
        <w:t>exparc.co.uk/get-a-quote  ·  info@exparc.co.uk  ·  +44 118 207 2681</w:t>
      </w:r>
    </w:p>
    <w:p>
      <w:r>
        <w:rPr>
          <w:rFonts w:ascii="Calibri" w:hAnsi="Calibri"/>
          <w:b w:val="0"/>
          <w:i w:val="0"/>
          <w:color w:val="57504B"/>
          <w:sz w:val="16"/>
        </w:rPr>
        <w:t>General information for UK projects, not planning advice for a specific property. Exp-Arc Limited, company no. 16980239.</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