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C2402A"/>
          <w:sz w:val="17"/>
        </w:rPr>
        <w:t>EXP | ARC  ·  FREE GUIDE</w:t>
      </w:r>
    </w:p>
    <w:p>
      <w:r>
        <w:rPr>
          <w:rFonts w:ascii="Calibri" w:hAnsi="Calibri"/>
          <w:b/>
          <w:i w:val="0"/>
          <w:color w:val="211D1A"/>
          <w:sz w:val="40"/>
        </w:rPr>
        <w:t>The Renovation Planning Guide</w:t>
      </w:r>
    </w:p>
    <w:p>
      <w:r>
        <w:rPr>
          <w:rFonts w:ascii="Calibri" w:hAnsi="Calibri"/>
          <w:b w:val="0"/>
          <w:i w:val="0"/>
          <w:color w:val="57504B"/>
          <w:sz w:val="22"/>
        </w:rPr>
        <w:t>How drawings and Building Regulations keep a refurbishment on budget.</w:t>
      </w:r>
    </w:p>
    <w:p>
      <w:r>
        <w:rPr>
          <w:rFonts w:ascii="Calibri" w:hAnsi="Calibri"/>
          <w:b w:val="0"/>
          <w:i/>
          <w:color w:val="57504B"/>
          <w:sz w:val="18"/>
        </w:rPr>
        <w:t>This is the editable Word version. The PDF and all our other guides are at exparc.co.uk/free-guides</w:t>
      </w:r>
    </w:p>
    <w:p/>
    <w:p>
      <w:r>
        <w:rPr>
          <w:rFonts w:ascii="Calibri" w:hAnsi="Calibri"/>
          <w:b/>
          <w:i w:val="0"/>
          <w:color w:val="211D1A"/>
          <w:sz w:val="26"/>
        </w:rPr>
        <w:t>1. Your approval routes</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Route</w:t>
            </w:r>
          </w:p>
        </w:tc>
        <w:tc>
          <w:tcPr>
            <w:tcW w:type="dxa" w:w="3312"/>
          </w:tcPr>
          <w:p>
            <w:r/>
            <w:r>
              <w:rPr>
                <w:rFonts w:ascii="Calibri" w:hAnsi="Calibri"/>
                <w:b/>
                <w:i w:val="0"/>
                <w:color w:val="211D1A"/>
                <w:sz w:val="19"/>
              </w:rPr>
              <w:t>When it applies</w:t>
            </w:r>
          </w:p>
        </w:tc>
        <w:tc>
          <w:tcPr>
            <w:tcW w:type="dxa" w:w="3312"/>
          </w:tcPr>
          <w:p>
            <w:r/>
            <w:r>
              <w:rPr>
                <w:rFonts w:ascii="Calibri" w:hAnsi="Calibri"/>
                <w:b/>
                <w:i w:val="0"/>
                <w:color w:val="211D1A"/>
                <w:sz w:val="19"/>
              </w:rPr>
              <w:t>What you submit</w:t>
            </w:r>
          </w:p>
        </w:tc>
      </w:tr>
      <w:tr>
        <w:tc>
          <w:tcPr>
            <w:tcW w:type="dxa" w:w="3312"/>
          </w:tcPr>
          <w:p>
            <w:r/>
            <w:r>
              <w:rPr>
                <w:rFonts w:ascii="Calibri" w:hAnsi="Calibri"/>
                <w:b/>
                <w:i w:val="0"/>
                <w:color w:val="211D1A"/>
                <w:sz w:val="19"/>
              </w:rPr>
              <w:t>No planning needed</w:t>
            </w:r>
          </w:p>
        </w:tc>
        <w:tc>
          <w:tcPr>
            <w:tcW w:type="dxa" w:w="3312"/>
          </w:tcPr>
          <w:p>
            <w:r/>
            <w:r>
              <w:rPr>
                <w:rFonts w:ascii="Calibri" w:hAnsi="Calibri"/>
                <w:b w:val="0"/>
                <w:i w:val="0"/>
                <w:color w:val="211D1A"/>
                <w:sz w:val="19"/>
              </w:rPr>
              <w:t>Most internal works and like-for-like refurbishment</w:t>
            </w:r>
          </w:p>
        </w:tc>
        <w:tc>
          <w:tcPr>
            <w:tcW w:type="dxa" w:w="3312"/>
          </w:tcPr>
          <w:p>
            <w:r/>
            <w:r>
              <w:rPr>
                <w:rFonts w:ascii="Calibri" w:hAnsi="Calibri"/>
                <w:b w:val="0"/>
                <w:i w:val="0"/>
                <w:color w:val="211D1A"/>
                <w:sz w:val="19"/>
              </w:rPr>
              <w:t>Nothing, but Building Regs still apply</w:t>
            </w:r>
          </w:p>
        </w:tc>
      </w:tr>
      <w:tr>
        <w:tc>
          <w:tcPr>
            <w:tcW w:type="dxa" w:w="3312"/>
          </w:tcPr>
          <w:p>
            <w:r/>
            <w:r>
              <w:rPr>
                <w:rFonts w:ascii="Calibri" w:hAnsi="Calibri"/>
                <w:b/>
                <w:i w:val="0"/>
                <w:color w:val="211D1A"/>
                <w:sz w:val="19"/>
              </w:rPr>
              <w:t>Building Regulations</w:t>
            </w:r>
          </w:p>
        </w:tc>
        <w:tc>
          <w:tcPr>
            <w:tcW w:type="dxa" w:w="3312"/>
          </w:tcPr>
          <w:p>
            <w:r/>
            <w:r>
              <w:rPr>
                <w:rFonts w:ascii="Calibri" w:hAnsi="Calibri"/>
                <w:b w:val="0"/>
                <w:i w:val="0"/>
                <w:color w:val="211D1A"/>
                <w:sz w:val="19"/>
              </w:rPr>
              <w:t>Structure, drainage, ventilation, insulation, electrics</w:t>
            </w:r>
          </w:p>
        </w:tc>
        <w:tc>
          <w:tcPr>
            <w:tcW w:type="dxa" w:w="3312"/>
          </w:tcPr>
          <w:p>
            <w:r/>
            <w:r>
              <w:rPr>
                <w:rFonts w:ascii="Calibri" w:hAnsi="Calibri"/>
                <w:b w:val="0"/>
                <w:i w:val="0"/>
                <w:color w:val="211D1A"/>
                <w:sz w:val="19"/>
              </w:rPr>
              <w:t>Technical drawings and building control notice</w:t>
            </w:r>
          </w:p>
        </w:tc>
      </w:tr>
      <w:tr>
        <w:tc>
          <w:tcPr>
            <w:tcW w:type="dxa" w:w="3312"/>
          </w:tcPr>
          <w:p>
            <w:r/>
            <w:r>
              <w:rPr>
                <w:rFonts w:ascii="Calibri" w:hAnsi="Calibri"/>
                <w:b/>
                <w:i w:val="0"/>
                <w:color w:val="211D1A"/>
                <w:sz w:val="19"/>
              </w:rPr>
              <w:t>Full Planning</w:t>
            </w:r>
          </w:p>
        </w:tc>
        <w:tc>
          <w:tcPr>
            <w:tcW w:type="dxa" w:w="3312"/>
          </w:tcPr>
          <w:p>
            <w:r/>
            <w:r>
              <w:rPr>
                <w:rFonts w:ascii="Calibri" w:hAnsi="Calibri"/>
                <w:b w:val="0"/>
                <w:i w:val="0"/>
                <w:color w:val="211D1A"/>
                <w:sz w:val="19"/>
              </w:rPr>
              <w:t>External changes, listed buildings, conservation areas</w:t>
            </w:r>
          </w:p>
        </w:tc>
        <w:tc>
          <w:tcPr>
            <w:tcW w:type="dxa" w:w="3312"/>
          </w:tcPr>
          <w:p>
            <w:r/>
            <w:r>
              <w:rPr>
                <w:rFonts w:ascii="Calibri" w:hAnsi="Calibri"/>
                <w:b w:val="0"/>
                <w:i w:val="0"/>
                <w:color w:val="211D1A"/>
                <w:sz w:val="19"/>
              </w:rPr>
              <w:t>Full application with drawings</w:t>
            </w:r>
          </w:p>
        </w:tc>
      </w:tr>
    </w:tbl>
    <w:p/>
    <w:p>
      <w:r>
        <w:rPr>
          <w:rFonts w:ascii="Calibri" w:hAnsi="Calibri"/>
          <w:b/>
          <w:i w:val="0"/>
          <w:color w:val="211D1A"/>
          <w:sz w:val="26"/>
        </w:rPr>
        <w:t>2. What trips people up</w:t>
      </w:r>
    </w:p>
    <w:p>
      <w:pPr>
        <w:pStyle w:val="ListBullet"/>
      </w:pPr>
      <w:r>
        <w:rPr>
          <w:rFonts w:ascii="Calibri" w:hAnsi="Calibri"/>
          <w:b w:val="0"/>
          <w:i w:val="0"/>
          <w:color w:val="211D1A"/>
          <w:sz w:val="20"/>
        </w:rPr>
        <w:t>Not needing planning permission does not mean not needing approval. Building Regulations still apply to structure and services.</w:t>
      </w:r>
    </w:p>
    <w:p>
      <w:pPr>
        <w:pStyle w:val="ListBullet"/>
      </w:pPr>
      <w:r>
        <w:rPr>
          <w:rFonts w:ascii="Calibri" w:hAnsi="Calibri"/>
          <w:b w:val="0"/>
          <w:i w:val="0"/>
          <w:color w:val="211D1A"/>
          <w:sz w:val="20"/>
        </w:rPr>
        <w:t>Moving a kitchen or bathroom means drainage, ventilation and often structural work.</w:t>
      </w:r>
    </w:p>
    <w:p>
      <w:pPr>
        <w:pStyle w:val="ListBullet"/>
      </w:pPr>
      <w:r>
        <w:rPr>
          <w:rFonts w:ascii="Calibri" w:hAnsi="Calibri"/>
          <w:b w:val="0"/>
          <w:i w:val="0"/>
          <w:color w:val="211D1A"/>
          <w:sz w:val="20"/>
        </w:rPr>
        <w:t>Decisions made on site are the expensive kind. A coordinated set prevents them.</w:t>
      </w:r>
    </w:p>
    <w:p>
      <w:pPr>
        <w:pStyle w:val="ListBullet"/>
      </w:pPr>
      <w:r>
        <w:rPr>
          <w:rFonts w:ascii="Calibri" w:hAnsi="Calibri"/>
          <w:b w:val="0"/>
          <w:i w:val="0"/>
          <w:color w:val="211D1A"/>
          <w:sz w:val="20"/>
        </w:rPr>
        <w:t>Without a proposed set, every builder prices a different job and the quotes cannot be compared.</w:t>
      </w:r>
    </w:p>
    <w:p/>
    <w:p>
      <w:r>
        <w:rPr>
          <w:rFonts w:ascii="Calibri" w:hAnsi="Calibri"/>
          <w:b/>
          <w:i w:val="0"/>
          <w:color w:val="211D1A"/>
          <w:sz w:val="26"/>
        </w:rPr>
        <w:t>3. What it costs</w:t>
      </w:r>
    </w:p>
    <w:p>
      <w:r>
        <w:rPr>
          <w:rFonts w:ascii="Calibri" w:hAnsi="Calibri"/>
          <w:b w:val="0"/>
          <w:i w:val="0"/>
          <w:color w:val="57504B"/>
          <w:sz w:val="20"/>
        </w:rPr>
        <w:t>Typical UK market ranges, so you can sanity-check any quote you receive.</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What</w:t>
            </w:r>
          </w:p>
        </w:tc>
        <w:tc>
          <w:tcPr>
            <w:tcW w:type="dxa" w:w="3312"/>
          </w:tcPr>
          <w:p>
            <w:r/>
            <w:r>
              <w:rPr>
                <w:rFonts w:ascii="Calibri" w:hAnsi="Calibri"/>
                <w:b/>
                <w:i w:val="0"/>
                <w:color w:val="211D1A"/>
                <w:sz w:val="19"/>
              </w:rPr>
              <w:t>Typical UK range</w:t>
            </w:r>
          </w:p>
        </w:tc>
        <w:tc>
          <w:tcPr>
            <w:tcW w:type="dxa" w:w="3312"/>
          </w:tcPr>
          <w:p>
            <w:r/>
            <w:r>
              <w:rPr>
                <w:rFonts w:ascii="Calibri" w:hAnsi="Calibri"/>
                <w:b/>
                <w:i w:val="0"/>
                <w:color w:val="211D1A"/>
                <w:sz w:val="19"/>
              </w:rPr>
              <w:t>Who it is paid to</w:t>
            </w:r>
          </w:p>
        </w:tc>
      </w:tr>
      <w:tr>
        <w:tc>
          <w:tcPr>
            <w:tcW w:type="dxa" w:w="3312"/>
          </w:tcPr>
          <w:p>
            <w:r/>
            <w:r>
              <w:rPr>
                <w:rFonts w:ascii="Calibri" w:hAnsi="Calibri"/>
                <w:b/>
                <w:i w:val="0"/>
                <w:color w:val="211D1A"/>
                <w:sz w:val="19"/>
              </w:rPr>
              <w:t>Planning drawings</w:t>
            </w:r>
          </w:p>
        </w:tc>
        <w:tc>
          <w:tcPr>
            <w:tcW w:type="dxa" w:w="3312"/>
          </w:tcPr>
          <w:p>
            <w:r/>
            <w:r>
              <w:rPr>
                <w:rFonts w:ascii="Calibri" w:hAnsi="Calibri"/>
                <w:b w:val="0"/>
                <w:i w:val="0"/>
                <w:color w:val="211D1A"/>
                <w:sz w:val="19"/>
              </w:rPr>
              <w:t>£1,200 – £2,500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Full set incl. Building Regs</w:t>
            </w:r>
          </w:p>
        </w:tc>
        <w:tc>
          <w:tcPr>
            <w:tcW w:type="dxa" w:w="3312"/>
          </w:tcPr>
          <w:p>
            <w:r/>
            <w:r>
              <w:rPr>
                <w:rFonts w:ascii="Calibri" w:hAnsi="Calibri"/>
                <w:b w:val="0"/>
                <w:i w:val="0"/>
                <w:color w:val="211D1A"/>
                <w:sz w:val="19"/>
              </w:rPr>
              <w:t>£2,500 – £5,000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Council application fee</w:t>
            </w:r>
          </w:p>
        </w:tc>
        <w:tc>
          <w:tcPr>
            <w:tcW w:type="dxa" w:w="3312"/>
          </w:tcPr>
          <w:p>
            <w:r/>
            <w:r>
              <w:rPr>
                <w:rFonts w:ascii="Calibri" w:hAnsi="Calibri"/>
                <w:b w:val="0"/>
                <w:i w:val="0"/>
                <w:color w:val="211D1A"/>
                <w:sz w:val="19"/>
              </w:rPr>
              <w:t>£548 (householder, England, from April 2026)</w:t>
            </w:r>
          </w:p>
        </w:tc>
        <w:tc>
          <w:tcPr>
            <w:tcW w:type="dxa" w:w="3312"/>
          </w:tcPr>
          <w:p>
            <w:r/>
            <w:r>
              <w:rPr>
                <w:rFonts w:ascii="Calibri" w:hAnsi="Calibri"/>
                <w:b w:val="0"/>
                <w:i w:val="0"/>
                <w:color w:val="211D1A"/>
                <w:sz w:val="19"/>
              </w:rPr>
              <w:t>Local authority</w:t>
            </w:r>
          </w:p>
        </w:tc>
      </w:tr>
      <w:tr>
        <w:tc>
          <w:tcPr>
            <w:tcW w:type="dxa" w:w="3312"/>
          </w:tcPr>
          <w:p>
            <w:r/>
            <w:r>
              <w:rPr>
                <w:rFonts w:ascii="Calibri" w:hAnsi="Calibri"/>
                <w:b/>
                <w:i w:val="0"/>
                <w:color w:val="211D1A"/>
                <w:sz w:val="19"/>
              </w:rPr>
              <w:t>Structural engineer</w:t>
            </w:r>
          </w:p>
        </w:tc>
        <w:tc>
          <w:tcPr>
            <w:tcW w:type="dxa" w:w="3312"/>
          </w:tcPr>
          <w:p>
            <w:r/>
            <w:r>
              <w:rPr>
                <w:rFonts w:ascii="Calibri" w:hAnsi="Calibri"/>
                <w:b w:val="0"/>
                <w:i w:val="0"/>
                <w:color w:val="211D1A"/>
                <w:sz w:val="19"/>
              </w:rPr>
              <w:t>£700 – £2,000</w:t>
            </w:r>
          </w:p>
        </w:tc>
        <w:tc>
          <w:tcPr>
            <w:tcW w:type="dxa" w:w="3312"/>
          </w:tcPr>
          <w:p>
            <w:r/>
            <w:r>
              <w:rPr>
                <w:rFonts w:ascii="Calibri" w:hAnsi="Calibri"/>
                <w:b w:val="0"/>
                <w:i w:val="0"/>
                <w:color w:val="211D1A"/>
                <w:sz w:val="19"/>
              </w:rPr>
              <w:t>Engineer, where structure changes</w:t>
            </w:r>
          </w:p>
        </w:tc>
      </w:tr>
      <w:tr>
        <w:tc>
          <w:tcPr>
            <w:tcW w:type="dxa" w:w="3312"/>
          </w:tcPr>
          <w:p>
            <w:r/>
            <w:r>
              <w:rPr>
                <w:rFonts w:ascii="Calibri" w:hAnsi="Calibri"/>
                <w:b/>
                <w:i w:val="0"/>
                <w:color w:val="211D1A"/>
                <w:sz w:val="19"/>
              </w:rPr>
              <w:t>Measured survey</w:t>
            </w:r>
          </w:p>
        </w:tc>
        <w:tc>
          <w:tcPr>
            <w:tcW w:type="dxa" w:w="3312"/>
          </w:tcPr>
          <w:p>
            <w:r/>
            <w:r>
              <w:rPr>
                <w:rFonts w:ascii="Calibri" w:hAnsi="Calibri"/>
                <w:b w:val="0"/>
                <w:i w:val="0"/>
                <w:color w:val="211D1A"/>
                <w:sz w:val="19"/>
              </w:rPr>
              <w:t>Up to £450, or £0 with a guided self-survey</w:t>
            </w:r>
          </w:p>
        </w:tc>
        <w:tc>
          <w:tcPr>
            <w:tcW w:type="dxa" w:w="3312"/>
          </w:tcPr>
          <w:p>
            <w:r/>
            <w:r>
              <w:rPr>
                <w:rFonts w:ascii="Calibri" w:hAnsi="Calibri"/>
                <w:b w:val="0"/>
                <w:i w:val="0"/>
                <w:color w:val="211D1A"/>
                <w:sz w:val="19"/>
              </w:rPr>
              <w:t>Surveyor</w:t>
            </w:r>
          </w:p>
        </w:tc>
      </w:tr>
    </w:tbl>
    <w:p/>
    <w:p>
      <w:r>
        <w:rPr>
          <w:rFonts w:ascii="Calibri" w:hAnsi="Calibri"/>
          <w:b/>
          <w:i w:val="0"/>
          <w:color w:val="211D1A"/>
          <w:sz w:val="26"/>
        </w:rPr>
        <w:t>4. How long it takes</w:t>
      </w:r>
    </w:p>
    <w:tbl>
      <w:tblPr>
        <w:tblStyle w:val="TableGrid"/>
        <w:tblW w:type="auto" w:w="0"/>
        <w:tblLook w:firstColumn="1" w:firstRow="1" w:lastColumn="0" w:lastRow="0" w:noHBand="0" w:noVBand="1" w:val="04A0"/>
      </w:tblPr>
      <w:tblGrid>
        <w:gridCol w:w="4968"/>
        <w:gridCol w:w="4968"/>
      </w:tblGrid>
      <w:tr>
        <w:tc>
          <w:tcPr>
            <w:tcW w:type="dxa" w:w="4968"/>
          </w:tcPr>
          <w:p>
            <w:r/>
            <w:r>
              <w:rPr>
                <w:rFonts w:ascii="Calibri" w:hAnsi="Calibri"/>
                <w:b/>
                <w:i w:val="0"/>
                <w:color w:val="211D1A"/>
                <w:sz w:val="19"/>
              </w:rPr>
              <w:t>Stage</w:t>
            </w:r>
          </w:p>
        </w:tc>
        <w:tc>
          <w:tcPr>
            <w:tcW w:type="dxa" w:w="4968"/>
          </w:tcPr>
          <w:p>
            <w:r/>
            <w:r>
              <w:rPr>
                <w:rFonts w:ascii="Calibri" w:hAnsi="Calibri"/>
                <w:b/>
                <w:i w:val="0"/>
                <w:color w:val="211D1A"/>
                <w:sz w:val="19"/>
              </w:rPr>
              <w:t>Typical time</w:t>
            </w:r>
          </w:p>
        </w:tc>
      </w:tr>
      <w:tr>
        <w:tc>
          <w:tcPr>
            <w:tcW w:type="dxa" w:w="4968"/>
          </w:tcPr>
          <w:p>
            <w:r/>
            <w:r>
              <w:rPr>
                <w:rFonts w:ascii="Calibri" w:hAnsi="Calibri"/>
                <w:b/>
                <w:i w:val="0"/>
                <w:color w:val="211D1A"/>
                <w:sz w:val="19"/>
              </w:rPr>
              <w:t>Free planning-route check</w:t>
            </w:r>
          </w:p>
        </w:tc>
        <w:tc>
          <w:tcPr>
            <w:tcW w:type="dxa" w:w="4968"/>
          </w:tcPr>
          <w:p>
            <w:r/>
            <w:r>
              <w:rPr>
                <w:rFonts w:ascii="Calibri" w:hAnsi="Calibri"/>
                <w:b w:val="0"/>
                <w:i w:val="0"/>
                <w:color w:val="211D1A"/>
                <w:sz w:val="19"/>
              </w:rPr>
              <w:t>Same working day</w:t>
            </w:r>
          </w:p>
        </w:tc>
      </w:tr>
      <w:tr>
        <w:tc>
          <w:tcPr>
            <w:tcW w:type="dxa" w:w="4968"/>
          </w:tcPr>
          <w:p>
            <w:r/>
            <w:r>
              <w:rPr>
                <w:rFonts w:ascii="Calibri" w:hAnsi="Calibri"/>
                <w:b/>
                <w:i w:val="0"/>
                <w:color w:val="211D1A"/>
                <w:sz w:val="19"/>
              </w:rPr>
              <w:t>First draft drawings</w:t>
            </w:r>
          </w:p>
        </w:tc>
        <w:tc>
          <w:tcPr>
            <w:tcW w:type="dxa" w:w="4968"/>
          </w:tcPr>
          <w:p>
            <w:r/>
            <w:r>
              <w:rPr>
                <w:rFonts w:ascii="Calibri" w:hAnsi="Calibri"/>
                <w:b w:val="0"/>
                <w:i w:val="0"/>
                <w:color w:val="211D1A"/>
                <w:sz w:val="19"/>
              </w:rPr>
              <w:t>10 working days</w:t>
            </w:r>
          </w:p>
        </w:tc>
      </w:tr>
      <w:tr>
        <w:tc>
          <w:tcPr>
            <w:tcW w:type="dxa" w:w="4968"/>
          </w:tcPr>
          <w:p>
            <w:r/>
            <w:r>
              <w:rPr>
                <w:rFonts w:ascii="Calibri" w:hAnsi="Calibri"/>
                <w:b/>
                <w:i w:val="0"/>
                <w:color w:val="211D1A"/>
                <w:sz w:val="19"/>
              </w:rPr>
              <w:t>Revisions until you are happy</w:t>
            </w:r>
          </w:p>
        </w:tc>
        <w:tc>
          <w:tcPr>
            <w:tcW w:type="dxa" w:w="4968"/>
          </w:tcPr>
          <w:p>
            <w:r/>
            <w:r>
              <w:rPr>
                <w:rFonts w:ascii="Calibri" w:hAnsi="Calibri"/>
                <w:b w:val="0"/>
                <w:i w:val="0"/>
                <w:color w:val="211D1A"/>
                <w:sz w:val="19"/>
              </w:rPr>
              <w:t>Unlimited, usually 1 to 2 rounds</w:t>
            </w:r>
          </w:p>
        </w:tc>
      </w:tr>
      <w:tr>
        <w:tc>
          <w:tcPr>
            <w:tcW w:type="dxa" w:w="4968"/>
          </w:tcPr>
          <w:p>
            <w:r/>
            <w:r>
              <w:rPr>
                <w:rFonts w:ascii="Calibri" w:hAnsi="Calibri"/>
                <w:b/>
                <w:i w:val="0"/>
                <w:color w:val="211D1A"/>
                <w:sz w:val="19"/>
              </w:rPr>
              <w:t>Council decision</w:t>
            </w:r>
          </w:p>
        </w:tc>
        <w:tc>
          <w:tcPr>
            <w:tcW w:type="dxa" w:w="4968"/>
          </w:tcPr>
          <w:p>
            <w:r/>
            <w:r>
              <w:rPr>
                <w:rFonts w:ascii="Calibri" w:hAnsi="Calibri"/>
                <w:b w:val="0"/>
                <w:i w:val="0"/>
                <w:color w:val="211D1A"/>
                <w:sz w:val="19"/>
              </w:rPr>
              <w:t>6 to 8 weeks from validation</w:t>
            </w:r>
          </w:p>
        </w:tc>
      </w:tr>
      <w:tr>
        <w:tc>
          <w:tcPr>
            <w:tcW w:type="dxa" w:w="4968"/>
          </w:tcPr>
          <w:p>
            <w:r/>
            <w:r>
              <w:rPr>
                <w:rFonts w:ascii="Calibri" w:hAnsi="Calibri"/>
                <w:b/>
                <w:i w:val="0"/>
                <w:color w:val="211D1A"/>
                <w:sz w:val="19"/>
              </w:rPr>
              <w:t>Building Regulations set</w:t>
            </w:r>
          </w:p>
        </w:tc>
        <w:tc>
          <w:tcPr>
            <w:tcW w:type="dxa" w:w="4968"/>
          </w:tcPr>
          <w:p>
            <w:r/>
            <w:r>
              <w:rPr>
                <w:rFonts w:ascii="Calibri" w:hAnsi="Calibri"/>
                <w:b w:val="0"/>
                <w:i w:val="0"/>
                <w:color w:val="211D1A"/>
                <w:sz w:val="19"/>
              </w:rPr>
              <w:t>1 to 2 weeks after approval</w:t>
            </w:r>
          </w:p>
        </w:tc>
      </w:tr>
    </w:tbl>
    <w:p/>
    <w:p>
      <w:r>
        <w:rPr>
          <w:rFonts w:ascii="Calibri" w:hAnsi="Calibri"/>
          <w:b/>
          <w:i w:val="0"/>
          <w:color w:val="211D1A"/>
          <w:sz w:val="26"/>
        </w:rPr>
        <w:t>5. Your checklist</w:t>
      </w:r>
    </w:p>
    <w:p>
      <w:r>
        <w:rPr>
          <w:rFonts w:ascii="Calibri" w:hAnsi="Calibri"/>
          <w:b w:val="0"/>
          <w:i w:val="0"/>
          <w:color w:val="211D1A"/>
          <w:sz w:val="21"/>
        </w:rPr>
        <w:t>☐  List every structural change, however small</w:t>
      </w:r>
    </w:p>
    <w:p>
      <w:r>
        <w:rPr>
          <w:rFonts w:ascii="Calibri" w:hAnsi="Calibri"/>
          <w:b w:val="0"/>
          <w:i w:val="0"/>
          <w:color w:val="211D1A"/>
          <w:sz w:val="21"/>
        </w:rPr>
        <w:t>☐  Map the existing drainage before redesigning</w:t>
      </w:r>
    </w:p>
    <w:p>
      <w:r>
        <w:rPr>
          <w:rFonts w:ascii="Calibri" w:hAnsi="Calibri"/>
          <w:b w:val="0"/>
          <w:i w:val="0"/>
          <w:color w:val="211D1A"/>
          <w:sz w:val="21"/>
        </w:rPr>
        <w:t>☐  Get proposed layouts drawn to scale</w:t>
      </w:r>
    </w:p>
    <w:p>
      <w:r>
        <w:rPr>
          <w:rFonts w:ascii="Calibri" w:hAnsi="Calibri"/>
          <w:b w:val="0"/>
          <w:i w:val="0"/>
          <w:color w:val="211D1A"/>
          <w:sz w:val="21"/>
        </w:rPr>
        <w:t>☐  Prepare a Building Regulations set</w:t>
      </w:r>
    </w:p>
    <w:p>
      <w:r>
        <w:rPr>
          <w:rFonts w:ascii="Calibri" w:hAnsi="Calibri"/>
          <w:b w:val="0"/>
          <w:i w:val="0"/>
          <w:color w:val="211D1A"/>
          <w:sz w:val="21"/>
        </w:rPr>
        <w:t>☐  Fix the scope before fixing the price</w:t>
      </w:r>
    </w:p>
    <w:p>
      <w:r>
        <w:rPr>
          <w:rFonts w:ascii="Calibri" w:hAnsi="Calibri"/>
          <w:b w:val="0"/>
          <w:i w:val="0"/>
          <w:color w:val="211D1A"/>
          <w:sz w:val="21"/>
        </w:rPr>
        <w:t>☐  Keep the completion certificate for resale</w:t>
      </w:r>
    </w:p>
    <w:p/>
    <w:p>
      <w:r>
        <w:rPr>
          <w:rFonts w:ascii="Calibri" w:hAnsi="Calibri"/>
          <w:b/>
          <w:i w:val="0"/>
          <w:color w:val="211D1A"/>
          <w:sz w:val="26"/>
        </w:rPr>
        <w:t>6. Questions people ask</w:t>
      </w:r>
    </w:p>
    <w:p>
      <w:r>
        <w:rPr>
          <w:rFonts w:ascii="Calibri" w:hAnsi="Calibri"/>
          <w:b/>
          <w:i w:val="0"/>
          <w:color w:val="211D1A"/>
          <w:sz w:val="21"/>
        </w:rPr>
        <w:t>Do I need drawings if I am not extending?</w:t>
      </w:r>
    </w:p>
    <w:p>
      <w:r>
        <w:rPr>
          <w:rFonts w:ascii="Calibri" w:hAnsi="Calibri"/>
          <w:b w:val="0"/>
          <w:i w:val="0"/>
          <w:color w:val="57504B"/>
          <w:sz w:val="21"/>
        </w:rPr>
        <w:t>If you are moving walls, drainage or services, yes. They are what keeps builders pricing the same scope and building control satisfied.</w:t>
      </w:r>
    </w:p>
    <w:p>
      <w:r>
        <w:rPr>
          <w:rFonts w:ascii="Calibri" w:hAnsi="Calibri"/>
          <w:b/>
          <w:i w:val="0"/>
          <w:color w:val="211D1A"/>
          <w:sz w:val="21"/>
        </w:rPr>
        <w:t>Will I need a structural engineer?</w:t>
      </w:r>
    </w:p>
    <w:p>
      <w:r>
        <w:rPr>
          <w:rFonts w:ascii="Calibri" w:hAnsi="Calibri"/>
          <w:b w:val="0"/>
          <w:i w:val="0"/>
          <w:color w:val="57504B"/>
          <w:sz w:val="21"/>
        </w:rPr>
        <w:t>Where you remove or alter load-bearing elements, yes. We flag it up front so it is in your budget rather than a surprise.</w:t>
      </w:r>
    </w:p>
    <w:p>
      <w:r>
        <w:rPr>
          <w:rFonts w:ascii="Calibri" w:hAnsi="Calibri"/>
          <w:b/>
          <w:i w:val="0"/>
          <w:color w:val="211D1A"/>
          <w:sz w:val="21"/>
        </w:rPr>
        <w:t>How long does it take?</w:t>
      </w:r>
    </w:p>
    <w:p>
      <w:r>
        <w:rPr>
          <w:rFonts w:ascii="Calibri" w:hAnsi="Calibri"/>
          <w:b w:val="0"/>
          <w:i w:val="0"/>
          <w:color w:val="57504B"/>
          <w:sz w:val="21"/>
        </w:rPr>
        <w:t>First draft drawings within 10 working days, with a Building Regulations set following once the layout is settled.</w:t>
      </w:r>
    </w:p>
    <w:p/>
    <w:p>
      <w:r>
        <w:rPr>
          <w:rFonts w:ascii="Calibri" w:hAnsi="Calibri"/>
          <w:b/>
          <w:i w:val="0"/>
          <w:color w:val="C2402A"/>
          <w:sz w:val="24"/>
        </w:rPr>
        <w:t>Get your free planning-route check</w:t>
      </w:r>
    </w:p>
    <w:p>
      <w:r>
        <w:rPr>
          <w:rFonts w:ascii="Calibri" w:hAnsi="Calibri"/>
          <w:b w:val="0"/>
          <w:i w:val="0"/>
          <w:color w:val="211D1A"/>
          <w:sz w:val="20"/>
        </w:rPr>
        <w:t>Send your postcode and what you are planning. You get the route in writing, the drawings you need, and one fixed price, usually the same working day. If any application we submit is refused, you get a 100% refund within 5 days.</w:t>
      </w:r>
    </w:p>
    <w:p>
      <w:r>
        <w:rPr>
          <w:rFonts w:ascii="Calibri" w:hAnsi="Calibri"/>
          <w:b/>
          <w:i w:val="0"/>
          <w:color w:val="211D1A"/>
          <w:sz w:val="20"/>
        </w:rPr>
        <w:t>exparc.co.uk/get-a-quote  ·  info@exparc.co.uk  ·  +44 118 207 2681</w:t>
      </w:r>
    </w:p>
    <w:p>
      <w:r>
        <w:rPr>
          <w:rFonts w:ascii="Calibri" w:hAnsi="Calibri"/>
          <w:b w:val="0"/>
          <w:i w:val="0"/>
          <w:color w:val="57504B"/>
          <w:sz w:val="16"/>
        </w:rPr>
        <w:t>General information for UK projects, not planning advice for a specific property. Exp-Arc Limited, company no. 16980239.</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