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b/>
          <w:i w:val="0"/>
          <w:color w:val="C2402A"/>
          <w:sz w:val="17"/>
        </w:rPr>
        <w:t>EXP | ARC  ·  FREE GUIDE</w:t>
      </w:r>
    </w:p>
    <w:p>
      <w:r>
        <w:rPr>
          <w:rFonts w:ascii="Calibri" w:hAnsi="Calibri"/>
          <w:b/>
          <w:i w:val="0"/>
          <w:color w:val="211D1A"/>
          <w:sz w:val="40"/>
        </w:rPr>
        <w:t>The Self-Survey Checklist</w:t>
      </w:r>
    </w:p>
    <w:p>
      <w:r>
        <w:rPr>
          <w:rFonts w:ascii="Calibri" w:hAnsi="Calibri"/>
          <w:b w:val="0"/>
          <w:i w:val="0"/>
          <w:color w:val="57504B"/>
          <w:sz w:val="22"/>
        </w:rPr>
        <w:t>Measure your own property the right way and save up to £450.</w:t>
      </w:r>
    </w:p>
    <w:p>
      <w:r>
        <w:rPr>
          <w:rFonts w:ascii="Calibri" w:hAnsi="Calibri"/>
          <w:b w:val="0"/>
          <w:i/>
          <w:color w:val="57504B"/>
          <w:sz w:val="18"/>
        </w:rPr>
        <w:t>This is the editable Word version. The PDF and all our other guides are at exparc.co.uk/free-guides</w:t>
      </w:r>
    </w:p>
    <w:p/>
    <w:p>
      <w:r>
        <w:rPr>
          <w:rFonts w:ascii="Calibri" w:hAnsi="Calibri"/>
          <w:b/>
          <w:i w:val="0"/>
          <w:color w:val="211D1A"/>
          <w:sz w:val="26"/>
        </w:rPr>
        <w:t>1. Your approval routes</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Option</w:t>
            </w:r>
          </w:p>
        </w:tc>
        <w:tc>
          <w:tcPr>
            <w:tcW w:type="dxa" w:w="3312"/>
          </w:tcPr>
          <w:p>
            <w:r/>
            <w:r>
              <w:rPr>
                <w:rFonts w:ascii="Calibri" w:hAnsi="Calibri"/>
                <w:b/>
                <w:i w:val="0"/>
                <w:color w:val="211D1A"/>
                <w:sz w:val="19"/>
              </w:rPr>
              <w:t>When it suits</w:t>
            </w:r>
          </w:p>
        </w:tc>
        <w:tc>
          <w:tcPr>
            <w:tcW w:type="dxa" w:w="3312"/>
          </w:tcPr>
          <w:p>
            <w:r/>
            <w:r>
              <w:rPr>
                <w:rFonts w:ascii="Calibri" w:hAnsi="Calibri"/>
                <w:b/>
                <w:i w:val="0"/>
                <w:color w:val="211D1A"/>
                <w:sz w:val="19"/>
              </w:rPr>
              <w:t>Cost</w:t>
            </w:r>
          </w:p>
        </w:tc>
      </w:tr>
      <w:tr>
        <w:tc>
          <w:tcPr>
            <w:tcW w:type="dxa" w:w="3312"/>
          </w:tcPr>
          <w:p>
            <w:r/>
            <w:r>
              <w:rPr>
                <w:rFonts w:ascii="Calibri" w:hAnsi="Calibri"/>
                <w:b/>
                <w:i w:val="0"/>
                <w:color w:val="211D1A"/>
                <w:sz w:val="19"/>
              </w:rPr>
              <w:t>Arranged measured survey</w:t>
            </w:r>
          </w:p>
        </w:tc>
        <w:tc>
          <w:tcPr>
            <w:tcW w:type="dxa" w:w="3312"/>
          </w:tcPr>
          <w:p>
            <w:r/>
            <w:r>
              <w:rPr>
                <w:rFonts w:ascii="Calibri" w:hAnsi="Calibri"/>
                <w:b w:val="0"/>
                <w:i w:val="0"/>
                <w:color w:val="211D1A"/>
                <w:sz w:val="19"/>
              </w:rPr>
              <w:t>Complex, listed or large properties</w:t>
            </w:r>
          </w:p>
        </w:tc>
        <w:tc>
          <w:tcPr>
            <w:tcW w:type="dxa" w:w="3312"/>
          </w:tcPr>
          <w:p>
            <w:r/>
            <w:r>
              <w:rPr>
                <w:rFonts w:ascii="Calibri" w:hAnsi="Calibri"/>
                <w:b w:val="0"/>
                <w:i w:val="0"/>
                <w:color w:val="211D1A"/>
                <w:sz w:val="19"/>
              </w:rPr>
              <w:t>Up to £450</w:t>
            </w:r>
          </w:p>
        </w:tc>
      </w:tr>
      <w:tr>
        <w:tc>
          <w:tcPr>
            <w:tcW w:type="dxa" w:w="3312"/>
          </w:tcPr>
          <w:p>
            <w:r/>
            <w:r>
              <w:rPr>
                <w:rFonts w:ascii="Calibri" w:hAnsi="Calibri"/>
                <w:b/>
                <w:i w:val="0"/>
                <w:color w:val="211D1A"/>
                <w:sz w:val="19"/>
              </w:rPr>
              <w:t>Guided self-survey</w:t>
            </w:r>
          </w:p>
        </w:tc>
        <w:tc>
          <w:tcPr>
            <w:tcW w:type="dxa" w:w="3312"/>
          </w:tcPr>
          <w:p>
            <w:r/>
            <w:r>
              <w:rPr>
                <w:rFonts w:ascii="Calibri" w:hAnsi="Calibri"/>
                <w:b w:val="0"/>
                <w:i w:val="0"/>
                <w:color w:val="211D1A"/>
                <w:sz w:val="19"/>
              </w:rPr>
              <w:t>Straightforward domestic projects, where permitted</w:t>
            </w:r>
          </w:p>
        </w:tc>
        <w:tc>
          <w:tcPr>
            <w:tcW w:type="dxa" w:w="3312"/>
          </w:tcPr>
          <w:p>
            <w:r/>
            <w:r>
              <w:rPr>
                <w:rFonts w:ascii="Calibri" w:hAnsi="Calibri"/>
                <w:b w:val="0"/>
                <w:i w:val="0"/>
                <w:color w:val="211D1A"/>
                <w:sz w:val="19"/>
              </w:rPr>
              <w:t>£0, we check your figures</w:t>
            </w:r>
          </w:p>
        </w:tc>
      </w:tr>
      <w:tr>
        <w:tc>
          <w:tcPr>
            <w:tcW w:type="dxa" w:w="3312"/>
          </w:tcPr>
          <w:p>
            <w:r/>
            <w:r>
              <w:rPr>
                <w:rFonts w:ascii="Calibri" w:hAnsi="Calibri"/>
                <w:b/>
                <w:i w:val="0"/>
                <w:color w:val="211D1A"/>
                <w:sz w:val="19"/>
              </w:rPr>
              <w:t>Existing drawings from survey</w:t>
            </w:r>
          </w:p>
        </w:tc>
        <w:tc>
          <w:tcPr>
            <w:tcW w:type="dxa" w:w="3312"/>
          </w:tcPr>
          <w:p>
            <w:r/>
            <w:r>
              <w:rPr>
                <w:rFonts w:ascii="Calibri" w:hAnsi="Calibri"/>
                <w:b w:val="0"/>
                <w:i w:val="0"/>
                <w:color w:val="211D1A"/>
                <w:sz w:val="19"/>
              </w:rPr>
              <w:t>Every project, whichever route</w:t>
            </w:r>
          </w:p>
        </w:tc>
        <w:tc>
          <w:tcPr>
            <w:tcW w:type="dxa" w:w="3312"/>
          </w:tcPr>
          <w:p>
            <w:r/>
            <w:r>
              <w:rPr>
                <w:rFonts w:ascii="Calibri" w:hAnsi="Calibri"/>
                <w:b w:val="0"/>
                <w:i w:val="0"/>
                <w:color w:val="211D1A"/>
                <w:sz w:val="19"/>
              </w:rPr>
              <w:t>Included in your package</w:t>
            </w:r>
          </w:p>
        </w:tc>
      </w:tr>
    </w:tbl>
    <w:p/>
    <w:p>
      <w:r>
        <w:rPr>
          <w:rFonts w:ascii="Calibri" w:hAnsi="Calibri"/>
          <w:b/>
          <w:i w:val="0"/>
          <w:color w:val="211D1A"/>
          <w:sz w:val="26"/>
        </w:rPr>
        <w:t>2. What trips people up</w:t>
      </w:r>
    </w:p>
    <w:p>
      <w:pPr>
        <w:pStyle w:val="ListBullet"/>
      </w:pPr>
      <w:r>
        <w:rPr>
          <w:rFonts w:ascii="Calibri" w:hAnsi="Calibri"/>
          <w:b w:val="0"/>
          <w:i w:val="0"/>
          <w:color w:val="211D1A"/>
          <w:sz w:val="20"/>
        </w:rPr>
        <w:t>Your existing drawings are the baseline every approval is measured against. Errors here surface at the worst moment.</w:t>
      </w:r>
    </w:p>
    <w:p>
      <w:pPr>
        <w:pStyle w:val="ListBullet"/>
      </w:pPr>
      <w:r>
        <w:rPr>
          <w:rFonts w:ascii="Calibri" w:hAnsi="Calibri"/>
          <w:b w:val="0"/>
          <w:i w:val="0"/>
          <w:color w:val="211D1A"/>
          <w:sz w:val="20"/>
        </w:rPr>
        <w:t>Measure wall to wall at a consistent height, and take every dimension twice.</w:t>
      </w:r>
    </w:p>
    <w:p>
      <w:pPr>
        <w:pStyle w:val="ListBullet"/>
      </w:pPr>
      <w:r>
        <w:rPr>
          <w:rFonts w:ascii="Calibri" w:hAnsi="Calibri"/>
          <w:b w:val="0"/>
          <w:i w:val="0"/>
          <w:color w:val="211D1A"/>
          <w:sz w:val="20"/>
        </w:rPr>
        <w:t>Ceiling heights vary across a room more than people expect. Record them in each corner.</w:t>
      </w:r>
    </w:p>
    <w:p>
      <w:pPr>
        <w:pStyle w:val="ListBullet"/>
      </w:pPr>
      <w:r>
        <w:rPr>
          <w:rFonts w:ascii="Calibri" w:hAnsi="Calibri"/>
          <w:b w:val="0"/>
          <w:i w:val="0"/>
          <w:color w:val="211D1A"/>
          <w:sz w:val="20"/>
        </w:rPr>
        <w:t>Photographs matter. They let us sanity-check your measurements before anything is drawn.</w:t>
      </w:r>
    </w:p>
    <w:p/>
    <w:p>
      <w:r>
        <w:rPr>
          <w:rFonts w:ascii="Calibri" w:hAnsi="Calibri"/>
          <w:b/>
          <w:i w:val="0"/>
          <w:color w:val="211D1A"/>
          <w:sz w:val="26"/>
        </w:rPr>
        <w:t>3. What it costs</w:t>
      </w:r>
    </w:p>
    <w:p>
      <w:r>
        <w:rPr>
          <w:rFonts w:ascii="Calibri" w:hAnsi="Calibri"/>
          <w:b w:val="0"/>
          <w:i w:val="0"/>
          <w:color w:val="57504B"/>
          <w:sz w:val="20"/>
        </w:rPr>
        <w:t>Typical UK market ranges, so you can sanity-check any quote you receive.</w:t>
      </w:r>
    </w:p>
    <w:tbl>
      <w:tblPr>
        <w:tblStyle w:val="TableGrid"/>
        <w:tblW w:type="auto" w:w="0"/>
        <w:tblLook w:firstColumn="1" w:firstRow="1" w:lastColumn="0" w:lastRow="0" w:noHBand="0" w:noVBand="1" w:val="04A0"/>
      </w:tblPr>
      <w:tblGrid>
        <w:gridCol w:w="3312"/>
        <w:gridCol w:w="3312"/>
        <w:gridCol w:w="3312"/>
      </w:tblGrid>
      <w:tr>
        <w:tc>
          <w:tcPr>
            <w:tcW w:type="dxa" w:w="3312"/>
          </w:tcPr>
          <w:p>
            <w:r/>
            <w:r>
              <w:rPr>
                <w:rFonts w:ascii="Calibri" w:hAnsi="Calibri"/>
                <w:b/>
                <w:i w:val="0"/>
                <w:color w:val="211D1A"/>
                <w:sz w:val="19"/>
              </w:rPr>
              <w:t>What</w:t>
            </w:r>
          </w:p>
        </w:tc>
        <w:tc>
          <w:tcPr>
            <w:tcW w:type="dxa" w:w="3312"/>
          </w:tcPr>
          <w:p>
            <w:r/>
            <w:r>
              <w:rPr>
                <w:rFonts w:ascii="Calibri" w:hAnsi="Calibri"/>
                <w:b/>
                <w:i w:val="0"/>
                <w:color w:val="211D1A"/>
                <w:sz w:val="19"/>
              </w:rPr>
              <w:t>Typical UK range</w:t>
            </w:r>
          </w:p>
        </w:tc>
        <w:tc>
          <w:tcPr>
            <w:tcW w:type="dxa" w:w="3312"/>
          </w:tcPr>
          <w:p>
            <w:r/>
            <w:r>
              <w:rPr>
                <w:rFonts w:ascii="Calibri" w:hAnsi="Calibri"/>
                <w:b/>
                <w:i w:val="0"/>
                <w:color w:val="211D1A"/>
                <w:sz w:val="19"/>
              </w:rPr>
              <w:t>Who it is paid to</w:t>
            </w:r>
          </w:p>
        </w:tc>
      </w:tr>
      <w:tr>
        <w:tc>
          <w:tcPr>
            <w:tcW w:type="dxa" w:w="3312"/>
          </w:tcPr>
          <w:p>
            <w:r/>
            <w:r>
              <w:rPr>
                <w:rFonts w:ascii="Calibri" w:hAnsi="Calibri"/>
                <w:b/>
                <w:i w:val="0"/>
                <w:color w:val="211D1A"/>
                <w:sz w:val="19"/>
              </w:rPr>
              <w:t>Planning drawings</w:t>
            </w:r>
          </w:p>
        </w:tc>
        <w:tc>
          <w:tcPr>
            <w:tcW w:type="dxa" w:w="3312"/>
          </w:tcPr>
          <w:p>
            <w:r/>
            <w:r>
              <w:rPr>
                <w:rFonts w:ascii="Calibri" w:hAnsi="Calibri"/>
                <w:b w:val="0"/>
                <w:i w:val="0"/>
                <w:color w:val="211D1A"/>
                <w:sz w:val="19"/>
              </w:rPr>
              <w:t>£1,200 – £2,500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Full set incl. Building Regs</w:t>
            </w:r>
          </w:p>
        </w:tc>
        <w:tc>
          <w:tcPr>
            <w:tcW w:type="dxa" w:w="3312"/>
          </w:tcPr>
          <w:p>
            <w:r/>
            <w:r>
              <w:rPr>
                <w:rFonts w:ascii="Calibri" w:hAnsi="Calibri"/>
                <w:b w:val="0"/>
                <w:i w:val="0"/>
                <w:color w:val="211D1A"/>
                <w:sz w:val="19"/>
              </w:rPr>
              <w:t>£2,500 – £5,000</w:t>
            </w:r>
          </w:p>
        </w:tc>
        <w:tc>
          <w:tcPr>
            <w:tcW w:type="dxa" w:w="3312"/>
          </w:tcPr>
          <w:p>
            <w:r/>
            <w:r>
              <w:rPr>
                <w:rFonts w:ascii="Calibri" w:hAnsi="Calibri"/>
                <w:b w:val="0"/>
                <w:i w:val="0"/>
                <w:color w:val="211D1A"/>
                <w:sz w:val="19"/>
              </w:rPr>
              <w:t>Your drawing practice</w:t>
            </w:r>
          </w:p>
        </w:tc>
      </w:tr>
      <w:tr>
        <w:tc>
          <w:tcPr>
            <w:tcW w:type="dxa" w:w="3312"/>
          </w:tcPr>
          <w:p>
            <w:r/>
            <w:r>
              <w:rPr>
                <w:rFonts w:ascii="Calibri" w:hAnsi="Calibri"/>
                <w:b/>
                <w:i w:val="0"/>
                <w:color w:val="211D1A"/>
                <w:sz w:val="19"/>
              </w:rPr>
              <w:t>Council application fee</w:t>
            </w:r>
          </w:p>
        </w:tc>
        <w:tc>
          <w:tcPr>
            <w:tcW w:type="dxa" w:w="3312"/>
          </w:tcPr>
          <w:p>
            <w:r/>
            <w:r>
              <w:rPr>
                <w:rFonts w:ascii="Calibri" w:hAnsi="Calibri"/>
                <w:b w:val="0"/>
                <w:i w:val="0"/>
                <w:color w:val="211D1A"/>
                <w:sz w:val="19"/>
              </w:rPr>
              <w:t>£548 (householder, England, from April 2026)</w:t>
            </w:r>
          </w:p>
        </w:tc>
        <w:tc>
          <w:tcPr>
            <w:tcW w:type="dxa" w:w="3312"/>
          </w:tcPr>
          <w:p>
            <w:r/>
            <w:r>
              <w:rPr>
                <w:rFonts w:ascii="Calibri" w:hAnsi="Calibri"/>
                <w:b w:val="0"/>
                <w:i w:val="0"/>
                <w:color w:val="211D1A"/>
                <w:sz w:val="19"/>
              </w:rPr>
              <w:t>Local authority</w:t>
            </w:r>
          </w:p>
        </w:tc>
      </w:tr>
      <w:tr>
        <w:tc>
          <w:tcPr>
            <w:tcW w:type="dxa" w:w="3312"/>
          </w:tcPr>
          <w:p>
            <w:r/>
            <w:r>
              <w:rPr>
                <w:rFonts w:ascii="Calibri" w:hAnsi="Calibri"/>
                <w:b/>
                <w:i w:val="0"/>
                <w:color w:val="211D1A"/>
                <w:sz w:val="19"/>
              </w:rPr>
              <w:t>Structural engineer</w:t>
            </w:r>
          </w:p>
        </w:tc>
        <w:tc>
          <w:tcPr>
            <w:tcW w:type="dxa" w:w="3312"/>
          </w:tcPr>
          <w:p>
            <w:r/>
            <w:r>
              <w:rPr>
                <w:rFonts w:ascii="Calibri" w:hAnsi="Calibri"/>
                <w:b w:val="0"/>
                <w:i w:val="0"/>
                <w:color w:val="211D1A"/>
                <w:sz w:val="19"/>
              </w:rPr>
              <w:t>£700 – £2,000</w:t>
            </w:r>
          </w:p>
        </w:tc>
        <w:tc>
          <w:tcPr>
            <w:tcW w:type="dxa" w:w="3312"/>
          </w:tcPr>
          <w:p>
            <w:r/>
            <w:r>
              <w:rPr>
                <w:rFonts w:ascii="Calibri" w:hAnsi="Calibri"/>
                <w:b w:val="0"/>
                <w:i w:val="0"/>
                <w:color w:val="211D1A"/>
                <w:sz w:val="19"/>
              </w:rPr>
              <w:t>Engineer, where structure changes</w:t>
            </w:r>
          </w:p>
        </w:tc>
      </w:tr>
      <w:tr>
        <w:tc>
          <w:tcPr>
            <w:tcW w:type="dxa" w:w="3312"/>
          </w:tcPr>
          <w:p>
            <w:r/>
            <w:r>
              <w:rPr>
                <w:rFonts w:ascii="Calibri" w:hAnsi="Calibri"/>
                <w:b/>
                <w:i w:val="0"/>
                <w:color w:val="211D1A"/>
                <w:sz w:val="19"/>
              </w:rPr>
              <w:t>Measured survey</w:t>
            </w:r>
          </w:p>
        </w:tc>
        <w:tc>
          <w:tcPr>
            <w:tcW w:type="dxa" w:w="3312"/>
          </w:tcPr>
          <w:p>
            <w:r/>
            <w:r>
              <w:rPr>
                <w:rFonts w:ascii="Calibri" w:hAnsi="Calibri"/>
                <w:b w:val="0"/>
                <w:i w:val="0"/>
                <w:color w:val="211D1A"/>
                <w:sz w:val="19"/>
              </w:rPr>
              <w:t>Up to £450, or £0 with a guided self-survey</w:t>
            </w:r>
          </w:p>
        </w:tc>
        <w:tc>
          <w:tcPr>
            <w:tcW w:type="dxa" w:w="3312"/>
          </w:tcPr>
          <w:p>
            <w:r/>
            <w:r>
              <w:rPr>
                <w:rFonts w:ascii="Calibri" w:hAnsi="Calibri"/>
                <w:b w:val="0"/>
                <w:i w:val="0"/>
                <w:color w:val="211D1A"/>
                <w:sz w:val="19"/>
              </w:rPr>
              <w:t>Surveyor</w:t>
            </w:r>
          </w:p>
        </w:tc>
      </w:tr>
    </w:tbl>
    <w:p/>
    <w:p>
      <w:r>
        <w:rPr>
          <w:rFonts w:ascii="Calibri" w:hAnsi="Calibri"/>
          <w:b/>
          <w:i w:val="0"/>
          <w:color w:val="211D1A"/>
          <w:sz w:val="26"/>
        </w:rPr>
        <w:t>4. How long it takes</w:t>
      </w:r>
    </w:p>
    <w:tbl>
      <w:tblPr>
        <w:tblStyle w:val="TableGrid"/>
        <w:tblW w:type="auto" w:w="0"/>
        <w:tblLook w:firstColumn="1" w:firstRow="1" w:lastColumn="0" w:lastRow="0" w:noHBand="0" w:noVBand="1" w:val="04A0"/>
      </w:tblPr>
      <w:tblGrid>
        <w:gridCol w:w="4968"/>
        <w:gridCol w:w="4968"/>
      </w:tblGrid>
      <w:tr>
        <w:tc>
          <w:tcPr>
            <w:tcW w:type="dxa" w:w="4968"/>
          </w:tcPr>
          <w:p>
            <w:r/>
            <w:r>
              <w:rPr>
                <w:rFonts w:ascii="Calibri" w:hAnsi="Calibri"/>
                <w:b/>
                <w:i w:val="0"/>
                <w:color w:val="211D1A"/>
                <w:sz w:val="19"/>
              </w:rPr>
              <w:t>Stage</w:t>
            </w:r>
          </w:p>
        </w:tc>
        <w:tc>
          <w:tcPr>
            <w:tcW w:type="dxa" w:w="4968"/>
          </w:tcPr>
          <w:p>
            <w:r/>
            <w:r>
              <w:rPr>
                <w:rFonts w:ascii="Calibri" w:hAnsi="Calibri"/>
                <w:b/>
                <w:i w:val="0"/>
                <w:color w:val="211D1A"/>
                <w:sz w:val="19"/>
              </w:rPr>
              <w:t>Typical time</w:t>
            </w:r>
          </w:p>
        </w:tc>
      </w:tr>
      <w:tr>
        <w:tc>
          <w:tcPr>
            <w:tcW w:type="dxa" w:w="4968"/>
          </w:tcPr>
          <w:p>
            <w:r/>
            <w:r>
              <w:rPr>
                <w:rFonts w:ascii="Calibri" w:hAnsi="Calibri"/>
                <w:b/>
                <w:i w:val="0"/>
                <w:color w:val="211D1A"/>
                <w:sz w:val="19"/>
              </w:rPr>
              <w:t>Free planning-route check</w:t>
            </w:r>
          </w:p>
        </w:tc>
        <w:tc>
          <w:tcPr>
            <w:tcW w:type="dxa" w:w="4968"/>
          </w:tcPr>
          <w:p>
            <w:r/>
            <w:r>
              <w:rPr>
                <w:rFonts w:ascii="Calibri" w:hAnsi="Calibri"/>
                <w:b w:val="0"/>
                <w:i w:val="0"/>
                <w:color w:val="211D1A"/>
                <w:sz w:val="19"/>
              </w:rPr>
              <w:t>Same working day</w:t>
            </w:r>
          </w:p>
        </w:tc>
      </w:tr>
      <w:tr>
        <w:tc>
          <w:tcPr>
            <w:tcW w:type="dxa" w:w="4968"/>
          </w:tcPr>
          <w:p>
            <w:r/>
            <w:r>
              <w:rPr>
                <w:rFonts w:ascii="Calibri" w:hAnsi="Calibri"/>
                <w:b/>
                <w:i w:val="0"/>
                <w:color w:val="211D1A"/>
                <w:sz w:val="19"/>
              </w:rPr>
              <w:t>First draft drawings</w:t>
            </w:r>
          </w:p>
        </w:tc>
        <w:tc>
          <w:tcPr>
            <w:tcW w:type="dxa" w:w="4968"/>
          </w:tcPr>
          <w:p>
            <w:r/>
            <w:r>
              <w:rPr>
                <w:rFonts w:ascii="Calibri" w:hAnsi="Calibri"/>
                <w:b w:val="0"/>
                <w:i w:val="0"/>
                <w:color w:val="211D1A"/>
                <w:sz w:val="19"/>
              </w:rPr>
              <w:t>10 working days</w:t>
            </w:r>
          </w:p>
        </w:tc>
      </w:tr>
      <w:tr>
        <w:tc>
          <w:tcPr>
            <w:tcW w:type="dxa" w:w="4968"/>
          </w:tcPr>
          <w:p>
            <w:r/>
            <w:r>
              <w:rPr>
                <w:rFonts w:ascii="Calibri" w:hAnsi="Calibri"/>
                <w:b/>
                <w:i w:val="0"/>
                <w:color w:val="211D1A"/>
                <w:sz w:val="19"/>
              </w:rPr>
              <w:t>Revisions until you are happy</w:t>
            </w:r>
          </w:p>
        </w:tc>
        <w:tc>
          <w:tcPr>
            <w:tcW w:type="dxa" w:w="4968"/>
          </w:tcPr>
          <w:p>
            <w:r/>
            <w:r>
              <w:rPr>
                <w:rFonts w:ascii="Calibri" w:hAnsi="Calibri"/>
                <w:b w:val="0"/>
                <w:i w:val="0"/>
                <w:color w:val="211D1A"/>
                <w:sz w:val="19"/>
              </w:rPr>
              <w:t>Unlimited, usually 1 to 2 rounds</w:t>
            </w:r>
          </w:p>
        </w:tc>
      </w:tr>
      <w:tr>
        <w:tc>
          <w:tcPr>
            <w:tcW w:type="dxa" w:w="4968"/>
          </w:tcPr>
          <w:p>
            <w:r/>
            <w:r>
              <w:rPr>
                <w:rFonts w:ascii="Calibri" w:hAnsi="Calibri"/>
                <w:b/>
                <w:i w:val="0"/>
                <w:color w:val="211D1A"/>
                <w:sz w:val="19"/>
              </w:rPr>
              <w:t>Council decision</w:t>
            </w:r>
          </w:p>
        </w:tc>
        <w:tc>
          <w:tcPr>
            <w:tcW w:type="dxa" w:w="4968"/>
          </w:tcPr>
          <w:p>
            <w:r/>
            <w:r>
              <w:rPr>
                <w:rFonts w:ascii="Calibri" w:hAnsi="Calibri"/>
                <w:b w:val="0"/>
                <w:i w:val="0"/>
                <w:color w:val="211D1A"/>
                <w:sz w:val="19"/>
              </w:rPr>
              <w:t>6 to 8 weeks from validation</w:t>
            </w:r>
          </w:p>
        </w:tc>
      </w:tr>
      <w:tr>
        <w:tc>
          <w:tcPr>
            <w:tcW w:type="dxa" w:w="4968"/>
          </w:tcPr>
          <w:p>
            <w:r/>
            <w:r>
              <w:rPr>
                <w:rFonts w:ascii="Calibri" w:hAnsi="Calibri"/>
                <w:b/>
                <w:i w:val="0"/>
                <w:color w:val="211D1A"/>
                <w:sz w:val="19"/>
              </w:rPr>
              <w:t>Building Regulations set</w:t>
            </w:r>
          </w:p>
        </w:tc>
        <w:tc>
          <w:tcPr>
            <w:tcW w:type="dxa" w:w="4968"/>
          </w:tcPr>
          <w:p>
            <w:r/>
            <w:r>
              <w:rPr>
                <w:rFonts w:ascii="Calibri" w:hAnsi="Calibri"/>
                <w:b w:val="0"/>
                <w:i w:val="0"/>
                <w:color w:val="211D1A"/>
                <w:sz w:val="19"/>
              </w:rPr>
              <w:t>1 to 2 weeks after approval</w:t>
            </w:r>
          </w:p>
        </w:tc>
      </w:tr>
    </w:tbl>
    <w:p/>
    <w:p>
      <w:r>
        <w:rPr>
          <w:rFonts w:ascii="Calibri" w:hAnsi="Calibri"/>
          <w:b/>
          <w:i w:val="0"/>
          <w:color w:val="211D1A"/>
          <w:sz w:val="26"/>
        </w:rPr>
        <w:t>5. Your checklist</w:t>
      </w:r>
    </w:p>
    <w:p>
      <w:r>
        <w:rPr>
          <w:rFonts w:ascii="Calibri" w:hAnsi="Calibri"/>
          <w:b w:val="0"/>
          <w:i w:val="0"/>
          <w:color w:val="211D1A"/>
          <w:sz w:val="21"/>
        </w:rPr>
        <w:t>☐  Sketch each floor before measuring</w:t>
      </w:r>
    </w:p>
    <w:p>
      <w:r>
        <w:rPr>
          <w:rFonts w:ascii="Calibri" w:hAnsi="Calibri"/>
          <w:b w:val="0"/>
          <w:i w:val="0"/>
          <w:color w:val="211D1A"/>
          <w:sz w:val="21"/>
        </w:rPr>
        <w:t>☐  Measure wall to wall at a consistent height, twice</w:t>
      </w:r>
    </w:p>
    <w:p>
      <w:r>
        <w:rPr>
          <w:rFonts w:ascii="Calibri" w:hAnsi="Calibri"/>
          <w:b w:val="0"/>
          <w:i w:val="0"/>
          <w:color w:val="211D1A"/>
          <w:sz w:val="21"/>
        </w:rPr>
        <w:t>☐  Record ceiling heights in every room</w:t>
      </w:r>
    </w:p>
    <w:p>
      <w:r>
        <w:rPr>
          <w:rFonts w:ascii="Calibri" w:hAnsi="Calibri"/>
          <w:b w:val="0"/>
          <w:i w:val="0"/>
          <w:color w:val="211D1A"/>
          <w:sz w:val="21"/>
        </w:rPr>
        <w:t>☐  Note window and door positions and sizes</w:t>
      </w:r>
    </w:p>
    <w:p>
      <w:r>
        <w:rPr>
          <w:rFonts w:ascii="Calibri" w:hAnsi="Calibri"/>
          <w:b w:val="0"/>
          <w:i w:val="0"/>
          <w:color w:val="211D1A"/>
          <w:sz w:val="21"/>
        </w:rPr>
        <w:t>☐  Measure external walls and projections</w:t>
      </w:r>
    </w:p>
    <w:p>
      <w:r>
        <w:rPr>
          <w:rFonts w:ascii="Calibri" w:hAnsi="Calibri"/>
          <w:b w:val="0"/>
          <w:i w:val="0"/>
          <w:color w:val="211D1A"/>
          <w:sz w:val="21"/>
        </w:rPr>
        <w:t>☐  Photograph every elevation and room corner</w:t>
      </w:r>
    </w:p>
    <w:p>
      <w:r>
        <w:rPr>
          <w:rFonts w:ascii="Calibri" w:hAnsi="Calibri"/>
          <w:b w:val="0"/>
          <w:i w:val="0"/>
          <w:color w:val="211D1A"/>
          <w:sz w:val="21"/>
        </w:rPr>
        <w:t>☐  Send it over for checking before drawing starts</w:t>
      </w:r>
    </w:p>
    <w:p/>
    <w:p>
      <w:r>
        <w:rPr>
          <w:rFonts w:ascii="Calibri" w:hAnsi="Calibri"/>
          <w:b/>
          <w:i w:val="0"/>
          <w:color w:val="211D1A"/>
          <w:sz w:val="26"/>
        </w:rPr>
        <w:t>6. Questions people ask</w:t>
      </w:r>
    </w:p>
    <w:p>
      <w:r>
        <w:rPr>
          <w:rFonts w:ascii="Calibri" w:hAnsi="Calibri"/>
          <w:b/>
          <w:i w:val="0"/>
          <w:color w:val="211D1A"/>
          <w:sz w:val="21"/>
        </w:rPr>
        <w:t>Can I really measure my own home?</w:t>
      </w:r>
    </w:p>
    <w:p>
      <w:r>
        <w:rPr>
          <w:rFonts w:ascii="Calibri" w:hAnsi="Calibri"/>
          <w:b w:val="0"/>
          <w:i w:val="0"/>
          <w:color w:val="57504B"/>
          <w:sz w:val="21"/>
        </w:rPr>
        <w:t>For straightforward domestic projects, where it is permitted and conditions are met, yes. We provide the guide and check your figures, which is what saves you up to £450.</w:t>
      </w:r>
    </w:p>
    <w:p>
      <w:r>
        <w:rPr>
          <w:rFonts w:ascii="Calibri" w:hAnsi="Calibri"/>
          <w:b/>
          <w:i w:val="0"/>
          <w:color w:val="211D1A"/>
          <w:sz w:val="21"/>
        </w:rPr>
        <w:t>What if I get something wrong?</w:t>
      </w:r>
    </w:p>
    <w:p>
      <w:r>
        <w:rPr>
          <w:rFonts w:ascii="Calibri" w:hAnsi="Calibri"/>
          <w:b w:val="0"/>
          <w:i w:val="0"/>
          <w:color w:val="57504B"/>
          <w:sz w:val="21"/>
        </w:rPr>
        <w:t>We check your figures against photographs and standard proportions, and query anything that looks off before drawing.</w:t>
      </w:r>
    </w:p>
    <w:p>
      <w:r>
        <w:rPr>
          <w:rFonts w:ascii="Calibri" w:hAnsi="Calibri"/>
          <w:b/>
          <w:i w:val="0"/>
          <w:color w:val="211D1A"/>
          <w:sz w:val="21"/>
        </w:rPr>
        <w:t>When is a professional survey essential?</w:t>
      </w:r>
    </w:p>
    <w:p>
      <w:r>
        <w:rPr>
          <w:rFonts w:ascii="Calibri" w:hAnsi="Calibri"/>
          <w:b w:val="0"/>
          <w:i w:val="0"/>
          <w:color w:val="57504B"/>
          <w:sz w:val="21"/>
        </w:rPr>
        <w:t>Listed buildings, irregular or large properties, and anything where existing dimensions are disputed.</w:t>
      </w:r>
    </w:p>
    <w:p/>
    <w:p>
      <w:r>
        <w:rPr>
          <w:rFonts w:ascii="Calibri" w:hAnsi="Calibri"/>
          <w:b/>
          <w:i w:val="0"/>
          <w:color w:val="C2402A"/>
          <w:sz w:val="24"/>
        </w:rPr>
        <w:t>Get your free planning-route check</w:t>
      </w:r>
    </w:p>
    <w:p>
      <w:r>
        <w:rPr>
          <w:rFonts w:ascii="Calibri" w:hAnsi="Calibri"/>
          <w:b w:val="0"/>
          <w:i w:val="0"/>
          <w:color w:val="211D1A"/>
          <w:sz w:val="20"/>
        </w:rPr>
        <w:t>Send your postcode and what you are planning. You get the route in writing, the drawings you need, and one fixed price, usually the same working day. If any application we submit is refused, you get a 100% refund within 5 days.</w:t>
      </w:r>
    </w:p>
    <w:p>
      <w:r>
        <w:rPr>
          <w:rFonts w:ascii="Calibri" w:hAnsi="Calibri"/>
          <w:b/>
          <w:i w:val="0"/>
          <w:color w:val="211D1A"/>
          <w:sz w:val="20"/>
        </w:rPr>
        <w:t>exparc.co.uk/get-a-quote  ·  info@exparc.co.uk  ·  +44 118 207 2681</w:t>
      </w:r>
    </w:p>
    <w:p>
      <w:r>
        <w:rPr>
          <w:rFonts w:ascii="Calibri" w:hAnsi="Calibri"/>
          <w:b w:val="0"/>
          <w:i w:val="0"/>
          <w:color w:val="57504B"/>
          <w:sz w:val="16"/>
        </w:rPr>
        <w:t>General information for UK projects, not planning advice for a specific property. Exp-Arc Limited, company no. 16980239.</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