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UK Residential Guide to Extensions &amp; Planning</w:t>
      </w:r>
    </w:p>
    <w:p>
      <w:r>
        <w:rPr>
          <w:rFonts w:ascii="Calibri" w:hAnsi="Calibri"/>
          <w:b w:val="0"/>
          <w:i w:val="0"/>
          <w:color w:val="57504B"/>
          <w:sz w:val="22"/>
        </w:rPr>
        <w:t>Everything you need before you commit: your route, your drawings, your costs and your timeline.</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Route</w:t>
            </w:r>
          </w:p>
        </w:tc>
        <w:tc>
          <w:tcPr>
            <w:tcW w:type="dxa" w:w="3312"/>
          </w:tcPr>
          <w:p>
            <w:r/>
            <w:r>
              <w:rPr>
                <w:rFonts w:ascii="Calibri" w:hAnsi="Calibri"/>
                <w:b/>
                <w:i w:val="0"/>
                <w:color w:val="211D1A"/>
                <w:sz w:val="19"/>
              </w:rPr>
              <w:t>When it applies</w:t>
            </w:r>
          </w:p>
        </w:tc>
        <w:tc>
          <w:tcPr>
            <w:tcW w:type="dxa" w:w="3312"/>
          </w:tcPr>
          <w:p>
            <w:r/>
            <w:r>
              <w:rPr>
                <w:rFonts w:ascii="Calibri" w:hAnsi="Calibri"/>
                <w:b/>
                <w:i w:val="0"/>
                <w:color w:val="211D1A"/>
                <w:sz w:val="19"/>
              </w:rPr>
              <w:t>What you submit</w:t>
            </w:r>
          </w:p>
        </w:tc>
      </w:tr>
      <w:tr>
        <w:tc>
          <w:tcPr>
            <w:tcW w:type="dxa" w:w="3312"/>
          </w:tcPr>
          <w:p>
            <w:r/>
            <w:r>
              <w:rPr>
                <w:rFonts w:ascii="Calibri" w:hAnsi="Calibri"/>
                <w:b/>
                <w:i w:val="0"/>
                <w:color w:val="211D1A"/>
                <w:sz w:val="19"/>
              </w:rPr>
              <w:t>Permitted Development</w:t>
            </w:r>
          </w:p>
        </w:tc>
        <w:tc>
          <w:tcPr>
            <w:tcW w:type="dxa" w:w="3312"/>
          </w:tcPr>
          <w:p>
            <w:r/>
            <w:r>
              <w:rPr>
                <w:rFonts w:ascii="Calibri" w:hAnsi="Calibri"/>
                <w:b w:val="0"/>
                <w:i w:val="0"/>
                <w:color w:val="211D1A"/>
                <w:sz w:val="19"/>
              </w:rPr>
              <w:t>Many single-storey rear extensions, lofts that keep the roof shape, most garden rooms</w:t>
            </w:r>
          </w:p>
        </w:tc>
        <w:tc>
          <w:tcPr>
            <w:tcW w:type="dxa" w:w="3312"/>
          </w:tcPr>
          <w:p>
            <w:r/>
            <w:r>
              <w:rPr>
                <w:rFonts w:ascii="Calibri" w:hAnsi="Calibri"/>
                <w:b w:val="0"/>
                <w:i w:val="0"/>
                <w:color w:val="211D1A"/>
                <w:sz w:val="19"/>
              </w:rPr>
              <w:t>Nothing is required, though a lawful development certificate protects you at resale</w:t>
            </w:r>
          </w:p>
        </w:tc>
      </w:tr>
      <w:tr>
        <w:tc>
          <w:tcPr>
            <w:tcW w:type="dxa" w:w="3312"/>
          </w:tcPr>
          <w:p>
            <w:r/>
            <w:r>
              <w:rPr>
                <w:rFonts w:ascii="Calibri" w:hAnsi="Calibri"/>
                <w:b/>
                <w:i w:val="0"/>
                <w:color w:val="211D1A"/>
                <w:sz w:val="19"/>
              </w:rPr>
              <w:t>Prior Approval</w:t>
            </w:r>
          </w:p>
        </w:tc>
        <w:tc>
          <w:tcPr>
            <w:tcW w:type="dxa" w:w="3312"/>
          </w:tcPr>
          <w:p>
            <w:r/>
            <w:r>
              <w:rPr>
                <w:rFonts w:ascii="Calibri" w:hAnsi="Calibri"/>
                <w:b w:val="0"/>
                <w:i w:val="0"/>
                <w:color w:val="211D1A"/>
                <w:sz w:val="19"/>
              </w:rPr>
              <w:t>Larger single-storey rear extensions, up to 6m or 8m depending on house type</w:t>
            </w:r>
          </w:p>
        </w:tc>
        <w:tc>
          <w:tcPr>
            <w:tcW w:type="dxa" w:w="3312"/>
          </w:tcPr>
          <w:p>
            <w:r/>
            <w:r>
              <w:rPr>
                <w:rFonts w:ascii="Calibri" w:hAnsi="Calibri"/>
                <w:b w:val="0"/>
                <w:i w:val="0"/>
                <w:color w:val="211D1A"/>
                <w:sz w:val="19"/>
              </w:rPr>
              <w:t>Notification, drawings and neighbour consultation</w:t>
            </w:r>
          </w:p>
        </w:tc>
      </w:tr>
      <w:tr>
        <w:tc>
          <w:tcPr>
            <w:tcW w:type="dxa" w:w="3312"/>
          </w:tcPr>
          <w:p>
            <w:r/>
            <w:r>
              <w:rPr>
                <w:rFonts w:ascii="Calibri" w:hAnsi="Calibri"/>
                <w:b/>
                <w:i w:val="0"/>
                <w:color w:val="211D1A"/>
                <w:sz w:val="19"/>
              </w:rPr>
              <w:t>Full Planning</w:t>
            </w:r>
          </w:p>
        </w:tc>
        <w:tc>
          <w:tcPr>
            <w:tcW w:type="dxa" w:w="3312"/>
          </w:tcPr>
          <w:p>
            <w:r/>
            <w:r>
              <w:rPr>
                <w:rFonts w:ascii="Calibri" w:hAnsi="Calibri"/>
                <w:b w:val="0"/>
                <w:i w:val="0"/>
                <w:color w:val="211D1A"/>
                <w:sz w:val="19"/>
              </w:rPr>
              <w:t>Two-storey, side and front extensions, and anything in a conservation area</w:t>
            </w:r>
          </w:p>
        </w:tc>
        <w:tc>
          <w:tcPr>
            <w:tcW w:type="dxa" w:w="3312"/>
          </w:tcPr>
          <w:p>
            <w:r/>
            <w:r>
              <w:rPr>
                <w:rFonts w:ascii="Calibri" w:hAnsi="Calibri"/>
                <w:b w:val="0"/>
                <w:i w:val="0"/>
                <w:color w:val="211D1A"/>
                <w:sz w:val="19"/>
              </w:rPr>
              <w:t>Full application with existing and proposed drawings</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27% of people planning work call planning permission a major obstacle, yet around 88% of householder applications are approved. Preparation is the difference.</w:t>
      </w:r>
    </w:p>
    <w:p>
      <w:pPr>
        <w:pStyle w:val="ListBullet"/>
      </w:pPr>
      <w:r>
        <w:rPr>
          <w:rFonts w:ascii="Calibri" w:hAnsi="Calibri"/>
          <w:b w:val="0"/>
          <w:i w:val="0"/>
          <w:color w:val="211D1A"/>
          <w:sz w:val="20"/>
        </w:rPr>
        <w:t>Assuming the wrong route is the most common and most expensive early mistake.</w:t>
      </w:r>
    </w:p>
    <w:p>
      <w:pPr>
        <w:pStyle w:val="ListBullet"/>
      </w:pPr>
      <w:r>
        <w:rPr>
          <w:rFonts w:ascii="Calibri" w:hAnsi="Calibri"/>
          <w:b w:val="0"/>
          <w:i w:val="0"/>
          <w:color w:val="211D1A"/>
          <w:sz w:val="20"/>
        </w:rPr>
        <w:t>Planning permission and Building Regulations are separate approvals. You usually need both, and one does not imply the other.</w:t>
      </w:r>
    </w:p>
    <w:p>
      <w:pPr>
        <w:pStyle w:val="ListBullet"/>
      </w:pPr>
      <w:r>
        <w:rPr>
          <w:rFonts w:ascii="Calibri" w:hAnsi="Calibri"/>
          <w:b w:val="0"/>
          <w:i w:val="0"/>
          <w:color w:val="211D1A"/>
          <w:sz w:val="20"/>
        </w:rPr>
        <w:t>Permitted development is measured against the original house, so earlier extensions may already have used your allowance.</w:t>
      </w:r>
    </w:p>
    <w:p>
      <w:pPr>
        <w:pStyle w:val="ListBullet"/>
      </w:pPr>
      <w:r>
        <w:rPr>
          <w:rFonts w:ascii="Calibri" w:hAnsi="Calibri"/>
          <w:b w:val="0"/>
          <w:i w:val="0"/>
          <w:color w:val="211D1A"/>
          <w:sz w:val="20"/>
        </w:rPr>
        <w:t>Percentage-based fees rise with your build cost. A fixed written price is the only way to know your number before you start.</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Confirm your route in writing before you design anything</w:t>
      </w:r>
    </w:p>
    <w:p>
      <w:r>
        <w:rPr>
          <w:rFonts w:ascii="Calibri" w:hAnsi="Calibri"/>
          <w:b w:val="0"/>
          <w:i w:val="0"/>
          <w:color w:val="211D1A"/>
          <w:sz w:val="21"/>
        </w:rPr>
        <w:t>☐  Check what earlier extensions have used up</w:t>
      </w:r>
    </w:p>
    <w:p>
      <w:r>
        <w:rPr>
          <w:rFonts w:ascii="Calibri" w:hAnsi="Calibri"/>
          <w:b w:val="0"/>
          <w:i w:val="0"/>
          <w:color w:val="211D1A"/>
          <w:sz w:val="21"/>
        </w:rPr>
        <w:t>☐  Measure boundary distances, ridge heights and the garden area</w:t>
      </w:r>
    </w:p>
    <w:p>
      <w:r>
        <w:rPr>
          <w:rFonts w:ascii="Calibri" w:hAnsi="Calibri"/>
          <w:b w:val="0"/>
          <w:i w:val="0"/>
          <w:color w:val="211D1A"/>
          <w:sz w:val="21"/>
        </w:rPr>
        <w:t>☐  Budget for the council fee and a structural engineer</w:t>
      </w:r>
    </w:p>
    <w:p>
      <w:r>
        <w:rPr>
          <w:rFonts w:ascii="Calibri" w:hAnsi="Calibri"/>
          <w:b w:val="0"/>
          <w:i w:val="0"/>
          <w:color w:val="211D1A"/>
          <w:sz w:val="21"/>
        </w:rPr>
        <w:t>☐  Commission accurate existing drawings</w:t>
      </w:r>
    </w:p>
    <w:p>
      <w:r>
        <w:rPr>
          <w:rFonts w:ascii="Calibri" w:hAnsi="Calibri"/>
          <w:b w:val="0"/>
          <w:i w:val="0"/>
          <w:color w:val="211D1A"/>
          <w:sz w:val="21"/>
        </w:rPr>
        <w:t>☐  Consider the Party Wall Act if building near a shared wall</w:t>
      </w:r>
    </w:p>
    <w:p>
      <w:r>
        <w:rPr>
          <w:rFonts w:ascii="Calibri" w:hAnsi="Calibri"/>
          <w:b w:val="0"/>
          <w:i w:val="0"/>
          <w:color w:val="211D1A"/>
          <w:sz w:val="21"/>
        </w:rPr>
        <w:t>☐  Plan for a 6 to 8 week council decision</w:t>
      </w:r>
    </w:p>
    <w:p>
      <w:r>
        <w:rPr>
          <w:rFonts w:ascii="Calibri" w:hAnsi="Calibri"/>
          <w:b w:val="0"/>
          <w:i w:val="0"/>
          <w:color w:val="211D1A"/>
          <w:sz w:val="21"/>
        </w:rPr>
        <w:t>☐  Keep the completion certificate for resale</w:t>
      </w:r>
    </w:p>
    <w:p/>
    <w:p>
      <w:r>
        <w:rPr>
          <w:rFonts w:ascii="Calibri" w:hAnsi="Calibri"/>
          <w:b/>
          <w:i w:val="0"/>
          <w:color w:val="211D1A"/>
          <w:sz w:val="26"/>
        </w:rPr>
        <w:t>6. Questions people ask</w:t>
      </w:r>
    </w:p>
    <w:p>
      <w:r>
        <w:rPr>
          <w:rFonts w:ascii="Calibri" w:hAnsi="Calibri"/>
          <w:b/>
          <w:i w:val="0"/>
          <w:color w:val="211D1A"/>
          <w:sz w:val="21"/>
        </w:rPr>
        <w:t>How do I know which route applies to me?</w:t>
      </w:r>
    </w:p>
    <w:p>
      <w:r>
        <w:rPr>
          <w:rFonts w:ascii="Calibri" w:hAnsi="Calibri"/>
          <w:b w:val="0"/>
          <w:i w:val="0"/>
          <w:color w:val="57504B"/>
          <w:sz w:val="21"/>
        </w:rPr>
        <w:t>It depends on your property type, its history, its location and exactly what you want to build. Send us the postcode and the plan and we confirm it in writing, free, usually the same working day.</w:t>
      </w:r>
    </w:p>
    <w:p>
      <w:r>
        <w:rPr>
          <w:rFonts w:ascii="Calibri" w:hAnsi="Calibri"/>
          <w:b/>
          <w:i w:val="0"/>
          <w:color w:val="211D1A"/>
          <w:sz w:val="21"/>
        </w:rPr>
        <w:t>What drawings will I receive?</w:t>
      </w:r>
    </w:p>
    <w:p>
      <w:r>
        <w:rPr>
          <w:rFonts w:ascii="Calibri" w:hAnsi="Calibri"/>
          <w:b w:val="0"/>
          <w:i w:val="0"/>
          <w:color w:val="57504B"/>
          <w:sz w:val="21"/>
        </w:rPr>
        <w:t>Existing and proposed floor plans, elevations and sections, a site location plan and a block plan, plus a Building Regulations set where the work is structural.</w:t>
      </w:r>
    </w:p>
    <w:p>
      <w:r>
        <w:rPr>
          <w:rFonts w:ascii="Calibri" w:hAnsi="Calibri"/>
          <w:b/>
          <w:i w:val="0"/>
          <w:color w:val="211D1A"/>
          <w:sz w:val="21"/>
        </w:rPr>
        <w:t>Do I have to deal with the council?</w:t>
      </w:r>
    </w:p>
    <w:p>
      <w:r>
        <w:rPr>
          <w:rFonts w:ascii="Calibri" w:hAnsi="Calibri"/>
          <w:b w:val="0"/>
          <w:i w:val="0"/>
          <w:color w:val="57504B"/>
          <w:sz w:val="21"/>
        </w:rPr>
        <w:t>No. We prepare the application, submit it, answer the case officer and manage it through to a decision.</w:t>
      </w:r>
    </w:p>
    <w:p>
      <w:r>
        <w:rPr>
          <w:rFonts w:ascii="Calibri" w:hAnsi="Calibri"/>
          <w:b/>
          <w:i w:val="0"/>
          <w:color w:val="211D1A"/>
          <w:sz w:val="21"/>
        </w:rPr>
        <w:t>What if the application is refused?</w:t>
      </w:r>
    </w:p>
    <w:p>
      <w:r>
        <w:rPr>
          <w:rFonts w:ascii="Calibri" w:hAnsi="Calibri"/>
          <w:b w:val="0"/>
          <w:i w:val="0"/>
          <w:color w:val="57504B"/>
          <w:sz w:val="21"/>
        </w:rPr>
        <w:t>We handle changes and resubmission, and if any application we submit is refused you get a 100% refund within 5 days.</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